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176" w:type="dxa"/>
        <w:jc w:val="center"/>
        <w:tblCellSpacing w:w="0" w:type="dxa"/>
        <w:tblInd w:w="215" w:type="dxa"/>
        <w:shd w:val="clear"/>
        <w:tblLayout w:type="fixed"/>
        <w:tblCellMar>
          <w:top w:w="0" w:type="dxa"/>
          <w:left w:w="0" w:type="dxa"/>
          <w:bottom w:w="0" w:type="dxa"/>
          <w:right w:w="0" w:type="dxa"/>
        </w:tblCellMar>
      </w:tblPr>
      <w:tblGrid>
        <w:gridCol w:w="8176"/>
      </w:tblGrid>
      <w:tr>
        <w:tblPrEx>
          <w:shd w:val="clear"/>
          <w:tblLayout w:type="fixed"/>
          <w:tblCellMar>
            <w:top w:w="0" w:type="dxa"/>
            <w:left w:w="0" w:type="dxa"/>
            <w:bottom w:w="0" w:type="dxa"/>
            <w:right w:w="0" w:type="dxa"/>
          </w:tblCellMar>
        </w:tblPrEx>
        <w:trPr>
          <w:tblCellSpacing w:w="0" w:type="dxa"/>
          <w:jc w:val="center"/>
        </w:trPr>
        <w:tc>
          <w:tcPr>
            <w:tcW w:w="8176" w:type="dxa"/>
            <w:shd w:val="clear"/>
            <w:tcMar>
              <w:top w:w="120" w:type="dxa"/>
              <w:left w:w="150" w:type="dxa"/>
              <w:bottom w:w="75" w:type="dxa"/>
              <w:right w:w="150" w:type="dxa"/>
            </w:tcMar>
            <w:vAlign w:val="center"/>
          </w:tcPr>
          <w:p>
            <w:pPr>
              <w:keepNext w:val="0"/>
              <w:keepLines w:val="0"/>
              <w:widowControl/>
              <w:suppressLineNumbers w:val="0"/>
              <w:spacing w:line="450" w:lineRule="atLeast"/>
              <w:jc w:val="center"/>
              <w:rPr>
                <w:rFonts w:ascii="黑体" w:hAnsi="宋体" w:eastAsia="黑体" w:cs="黑体"/>
                <w:color w:val="D10000"/>
                <w:sz w:val="33"/>
                <w:szCs w:val="33"/>
              </w:rPr>
            </w:pPr>
            <w:r>
              <w:rPr>
                <w:rFonts w:hint="eastAsia" w:ascii="黑体" w:hAnsi="宋体" w:eastAsia="黑体" w:cs="黑体"/>
                <w:color w:val="D10000"/>
                <w:kern w:val="0"/>
                <w:sz w:val="33"/>
                <w:szCs w:val="33"/>
                <w:bdr w:val="none" w:color="auto" w:sz="0" w:space="0"/>
                <w:lang w:val="en-US" w:eastAsia="zh-CN" w:bidi="ar"/>
              </w:rPr>
              <w:t>浙江省</w:t>
            </w:r>
            <w:bookmarkStart w:id="0" w:name="_GoBack"/>
            <w:bookmarkEnd w:id="0"/>
            <w:r>
              <w:rPr>
                <w:rFonts w:hint="eastAsia" w:ascii="黑体" w:hAnsi="宋体" w:eastAsia="黑体" w:cs="黑体"/>
                <w:color w:val="D10000"/>
                <w:kern w:val="0"/>
                <w:sz w:val="33"/>
                <w:szCs w:val="33"/>
                <w:bdr w:val="none" w:color="auto" w:sz="0" w:space="0"/>
                <w:lang w:val="en-US" w:eastAsia="zh-CN" w:bidi="ar"/>
              </w:rPr>
              <w:t xml:space="preserve">“十四五”规划重大前期研究课题遴选公告 </w:t>
            </w:r>
          </w:p>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rFonts w:hint="eastAsia" w:ascii="黑体" w:hAnsi="宋体" w:eastAsia="黑体" w:cs="黑体"/>
                <w:color w:val="D10000"/>
                <w:sz w:val="33"/>
                <w:szCs w:val="33"/>
              </w:rPr>
            </w:pPr>
            <w:r>
              <w:rPr>
                <w:rFonts w:hint="eastAsia" w:ascii="黑体" w:hAnsi="宋体" w:eastAsia="黑体" w:cs="黑体"/>
                <w:color w:val="D10000"/>
                <w:kern w:val="0"/>
                <w:sz w:val="33"/>
                <w:szCs w:val="33"/>
                <w:bdr w:val="none" w:color="auto" w:sz="0" w:space="0"/>
                <w:lang w:val="en-US" w:eastAsia="zh-CN" w:bidi="ar"/>
              </w:rPr>
              <w:t xml:space="preserve">分享 </w:t>
            </w:r>
          </w:p>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rFonts w:hint="eastAsia" w:ascii="黑体" w:hAnsi="宋体" w:eastAsia="黑体" w:cs="黑体"/>
                <w:vanish/>
                <w:color w:val="D10000"/>
                <w:sz w:val="33"/>
                <w:szCs w:val="33"/>
              </w:rPr>
            </w:pPr>
            <w:r>
              <w:rPr>
                <w:rFonts w:hint="eastAsia" w:ascii="黑体" w:hAnsi="宋体" w:eastAsia="黑体" w:cs="黑体"/>
                <w:vanish/>
                <w:color w:val="D10000"/>
                <w:kern w:val="0"/>
                <w:sz w:val="33"/>
                <w:szCs w:val="33"/>
                <w:bdr w:val="none" w:color="auto" w:sz="0" w:space="0"/>
                <w:lang w:val="en-US" w:eastAsia="zh-CN" w:bidi="ar"/>
              </w:rPr>
              <w:t xml:space="preserve">人民微博 新浪微博 腾讯微博 </w:t>
            </w:r>
          </w:p>
        </w:tc>
      </w:tr>
      <w:tr>
        <w:tblPrEx>
          <w:shd w:val="clear"/>
          <w:tblLayout w:type="fixed"/>
          <w:tblCellMar>
            <w:top w:w="0" w:type="dxa"/>
            <w:left w:w="0" w:type="dxa"/>
            <w:bottom w:w="0" w:type="dxa"/>
            <w:right w:w="0" w:type="dxa"/>
          </w:tblCellMar>
        </w:tblPrEx>
        <w:trPr>
          <w:trHeight w:val="75" w:hRule="atLeast"/>
          <w:tblCellSpacing w:w="0" w:type="dxa"/>
          <w:jc w:val="center"/>
        </w:trPr>
        <w:tc>
          <w:tcPr>
            <w:tcW w:w="8176" w:type="dxa"/>
            <w:shd w:val="clear"/>
            <w:vAlign w:val="center"/>
          </w:tcPr>
          <w:p>
            <w:pPr>
              <w:rPr>
                <w:rFonts w:hint="eastAsia" w:ascii="宋体" w:hAnsi="宋体" w:eastAsia="宋体" w:cs="宋体"/>
                <w:color w:val="000000"/>
                <w:sz w:val="18"/>
                <w:szCs w:val="18"/>
              </w:rPr>
            </w:pPr>
          </w:p>
        </w:tc>
      </w:tr>
      <w:tr>
        <w:tblPrEx>
          <w:shd w:val="clear"/>
          <w:tblLayout w:type="fixed"/>
          <w:tblCellMar>
            <w:top w:w="0" w:type="dxa"/>
            <w:left w:w="0" w:type="dxa"/>
            <w:bottom w:w="0" w:type="dxa"/>
            <w:right w:w="0" w:type="dxa"/>
          </w:tblCellMar>
        </w:tblPrEx>
        <w:trPr>
          <w:tblCellSpacing w:w="0" w:type="dxa"/>
          <w:jc w:val="center"/>
        </w:trPr>
        <w:tc>
          <w:tcPr>
            <w:tcW w:w="8176" w:type="dxa"/>
            <w:shd w:val="clear"/>
            <w:vAlign w:val="center"/>
          </w:tcPr>
          <w:tbl>
            <w:tblPr>
              <w:tblW w:w="8176" w:type="dxa"/>
              <w:jc w:val="center"/>
              <w:tblCellSpacing w:w="0" w:type="dxa"/>
              <w:tblInd w:w="0" w:type="dxa"/>
              <w:shd w:val="clear"/>
              <w:tblLayout w:type="fixed"/>
              <w:tblCellMar>
                <w:top w:w="0" w:type="dxa"/>
                <w:left w:w="0" w:type="dxa"/>
                <w:bottom w:w="0" w:type="dxa"/>
                <w:right w:w="0" w:type="dxa"/>
              </w:tblCellMar>
            </w:tblPr>
            <w:tblGrid>
              <w:gridCol w:w="8176"/>
            </w:tblGrid>
            <w:tr>
              <w:tblPrEx>
                <w:shd w:val="clear"/>
                <w:tblLayout w:type="fixed"/>
                <w:tblCellMar>
                  <w:top w:w="0" w:type="dxa"/>
                  <w:left w:w="0" w:type="dxa"/>
                  <w:bottom w:w="0" w:type="dxa"/>
                  <w:right w:w="0" w:type="dxa"/>
                </w:tblCellMar>
              </w:tblPrEx>
              <w:trPr>
                <w:trHeight w:val="420" w:hRule="atLeast"/>
                <w:tblCellSpacing w:w="0" w:type="dxa"/>
                <w:jc w:val="center"/>
              </w:trPr>
              <w:tc>
                <w:tcPr>
                  <w:tcW w:w="8176" w:type="dxa"/>
                  <w:shd w:val="clear"/>
                  <w:vAlign w:val="center"/>
                </w:tcPr>
                <w:p>
                  <w:pPr>
                    <w:keepNext w:val="0"/>
                    <w:keepLines w:val="0"/>
                    <w:widowControl/>
                    <w:suppressLineNumbers w:val="0"/>
                    <w:spacing w:line="330" w:lineRule="atLeast"/>
                    <w:jc w:val="center"/>
                    <w:rPr>
                      <w:rFonts w:hint="eastAsia" w:ascii="宋体" w:hAnsi="宋体" w:eastAsia="宋体" w:cs="宋体"/>
                      <w:color w:val="000000"/>
                      <w:sz w:val="18"/>
                      <w:szCs w:val="18"/>
                    </w:rPr>
                  </w:pPr>
                </w:p>
              </w:tc>
            </w:tr>
          </w:tbl>
          <w:p>
            <w:pPr>
              <w:keepNext w:val="0"/>
              <w:keepLines w:val="0"/>
              <w:widowControl/>
              <w:suppressLineNumbers w:val="0"/>
              <w:jc w:val="left"/>
            </w:pPr>
          </w:p>
        </w:tc>
      </w:tr>
      <w:tr>
        <w:tblPrEx>
          <w:shd w:val="clear"/>
          <w:tblLayout w:type="fixed"/>
          <w:tblCellMar>
            <w:top w:w="0" w:type="dxa"/>
            <w:left w:w="0" w:type="dxa"/>
            <w:bottom w:w="0" w:type="dxa"/>
            <w:right w:w="0" w:type="dxa"/>
          </w:tblCellMar>
        </w:tblPrEx>
        <w:trPr>
          <w:trHeight w:val="4501" w:hRule="atLeast"/>
          <w:tblCellSpacing w:w="0" w:type="dxa"/>
          <w:jc w:val="center"/>
        </w:trPr>
        <w:tc>
          <w:tcPr>
            <w:tcW w:w="8176" w:type="dxa"/>
            <w:shd w:val="clear"/>
            <w:vAlign w:val="top"/>
          </w:tcPr>
          <w:p>
            <w:pPr>
              <w:pStyle w:val="2"/>
              <w:keepNext w:val="0"/>
              <w:keepLines w:val="0"/>
              <w:widowControl/>
              <w:suppressLineNumbers w:val="0"/>
              <w:spacing w:line="390" w:lineRule="atLeast"/>
              <w:jc w:val="left"/>
            </w:pPr>
            <w:r>
              <w:rPr>
                <w:rFonts w:hint="eastAsia" w:ascii="宋体" w:hAnsi="宋体" w:eastAsia="宋体" w:cs="宋体"/>
                <w:color w:val="333333"/>
                <w:sz w:val="21"/>
                <w:szCs w:val="21"/>
              </w:rPr>
              <w:t>　　“十四五”规划是浙江省在高水平全面建成小康社会基础上，开启全面高水平建设社会主义现代化新征程的第一个五年规划。研究和编制好“十四五”规划，是浙江在新时期建立发展新优势的必然要求，对推动浙江经济社会持续健康发展具有十分重要的意义。今年，我省将全面开展“十四五”规划前期研究工作，为明年省委《建议》和“十四五”规划《纲要》起草打好基础。为广泛凝聚社会各界智慧，进一步提高规划编制质量，经省政府同意，现将《浙江省“十四五”规划重大前期研究课题计划》中由浙江省发展和改革委员会牵头的有关重大前期研究课题，面向社会公开遴选研究机构。有关事项公告如下：</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一、委托单位</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浙江省发展和改革委员会</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二、研究课题</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本次面向社会公开选聘研究机构的“十四五”规划重大前期研究课题共23项，其中包括综合类课题9项，专项类课题14项，主要聚焦关乎浙江省“十四五”时期及中长期发展全局性、战略性、前瞻性、关键性的重大问题。请各申请单位仔细阅读《浙江省“十四五”规划重大前期研究课题指南》（以下简称《课题指南》），根据课题具体研究要求，结合本单位研究优势认真选报课题。</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三、申报条件</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1、省内外高等院校、科研咨询机构、大型企业、行业协会、社会组织、各类智库，以及其他经审查符合条件的机构或组织，可根据公告要求，并结合自身研究优势进行申报。　　鼓励组成跨领域、跨学科的专家团队联合申报。课题申报单位须精心组建课题组，确定课题组负责人，并对课题组成员的政治素质和业务素质负责。</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2、课题组负责人须有较高的理论素养和研究能力，具有较强的组织协调和分析解决问题能力，并具有高级及以上专业技术职称，近五年承担过国家和省部级，特别是浙江省级相关课题研究的优先。课题组负责人必须是该项目实施全过程的真正组织者和指导者，并担负实质性研究工作。挂名或不担负实质性研究工作的，不得作为课题组负责人。课题负责人必须参加浙江省发展和改革委员会组织的成果汇报及评审会，并汇报课题研究成果。</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3、课题申报单位可根据自身研究优势和团队能力，申报一个或多个课题。原则上每位课题负责人承担的课题不得超过2个。</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四、选聘程序</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1、申报期限：截止时间为2019年5月15日（以邮戳时间为准）。</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2、下载材料：申请单位可登录浙江省发展改革委网站（通知公告栏目）、浙江省政府采购网、国家发展改革委网站（地方动态专栏），下载《</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"http://www.zjdpc.gov.cn/module/download/downfile.jsp?classid=0&amp;filename=1905060921125746800.docx" </w:instrText>
            </w:r>
            <w:r>
              <w:rPr>
                <w:rFonts w:hint="eastAsia" w:ascii="宋体" w:hAnsi="宋体" w:eastAsia="宋体" w:cs="宋体"/>
                <w:sz w:val="21"/>
                <w:szCs w:val="21"/>
              </w:rPr>
              <w:fldChar w:fldCharType="separate"/>
            </w:r>
            <w:r>
              <w:rPr>
                <w:rStyle w:val="5"/>
                <w:rFonts w:hint="eastAsia" w:ascii="宋体" w:hAnsi="宋体" w:eastAsia="宋体" w:cs="宋体"/>
                <w:sz w:val="21"/>
                <w:szCs w:val="21"/>
              </w:rPr>
              <w:t>课题指南</w:t>
            </w:r>
            <w:r>
              <w:rPr>
                <w:rFonts w:hint="eastAsia" w:ascii="宋体" w:hAnsi="宋体" w:eastAsia="宋体" w:cs="宋体"/>
                <w:sz w:val="21"/>
                <w:szCs w:val="21"/>
              </w:rPr>
              <w:fldChar w:fldCharType="end"/>
            </w:r>
            <w:r>
              <w:rPr>
                <w:rFonts w:hint="eastAsia" w:ascii="宋体" w:hAnsi="宋体" w:eastAsia="宋体" w:cs="宋体"/>
                <w:color w:val="333333"/>
                <w:sz w:val="21"/>
                <w:szCs w:val="21"/>
              </w:rPr>
              <w:t>》和《</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"http://www.zjdpc.gov.cn/module/download/downfile.jsp?classid=0&amp;filename=1905060922334366905.docx" </w:instrText>
            </w:r>
            <w:r>
              <w:rPr>
                <w:rFonts w:hint="eastAsia" w:ascii="宋体" w:hAnsi="宋体" w:eastAsia="宋体" w:cs="宋体"/>
                <w:sz w:val="21"/>
                <w:szCs w:val="21"/>
              </w:rPr>
              <w:fldChar w:fldCharType="separate"/>
            </w:r>
            <w:r>
              <w:rPr>
                <w:rStyle w:val="5"/>
                <w:rFonts w:hint="eastAsia" w:ascii="宋体" w:hAnsi="宋体" w:eastAsia="宋体" w:cs="宋体"/>
                <w:sz w:val="21"/>
                <w:szCs w:val="21"/>
              </w:rPr>
              <w:t>浙江省“十四五”规划前期研究课题申请书</w:t>
            </w:r>
            <w:r>
              <w:rPr>
                <w:rFonts w:hint="eastAsia" w:ascii="宋体" w:hAnsi="宋体" w:eastAsia="宋体" w:cs="宋体"/>
                <w:sz w:val="21"/>
                <w:szCs w:val="21"/>
              </w:rPr>
              <w:fldChar w:fldCharType="end"/>
            </w:r>
            <w:r>
              <w:rPr>
                <w:rFonts w:hint="eastAsia" w:ascii="宋体" w:hAnsi="宋体" w:eastAsia="宋体" w:cs="宋体"/>
                <w:color w:val="333333"/>
                <w:sz w:val="21"/>
                <w:szCs w:val="21"/>
              </w:rPr>
              <w:t>》（以下简称《课题申请书》）。</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3、填写材料：申请材料填写内容应简明扼要，突出重点，《课题申请书》须由申请单位加盖公章。</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4、提交材料：申请单位应通过现场或邮寄方式密封提交《课题申请书》（一式七份），同时提交电子版文件（在邮件封面处注明浙江省“十四五”规划课题申请字样）。</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5、组织评审：浙江省发展和改革委员会将组织专家进行评审，从申请单位的团队实力和工作基础，以及申报课题初步方案的科学性、合理性和创新性等方面，进行综合研究评估，择优遴选课题承担单位。结果确定后，将在浙江省发展和改革委员会网站发布公告信息，并于2019年5月20日前通知承担单位联系人。</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五、进度要求</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公开选聘课题应按照以下课题进度要求开展研究：</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1、签订协议。承担单位接到遴选结果通知后，于2019年5月25日前与浙江省发展和改革委员会签订课题委托协议，正式确定课题方案和相关事宜。</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2、开题启动。承担单位签订委托协议后，应在10个工作日内组织召开课题开题会，正式启动课题研究。</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3、形成成果。承担单位应于2019年7月底前形成课题成果。浙江省发展和改革委员会将适时组织课题讨论会和评审会。</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4、结题评审。承担单位应在课题讨论评审的基础上，做进一步深化研究，并于2019年8月底前提交最终成果。浙江省发展和改革委员会将组织审核，通过审核后正式办理结题手续。</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六、经费补助</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根据研究工作需要，浙江省发展和改革委员会安排一定经费资助，其中“十四五”时期浙江省国民经济和社会发展基本思路研究课题原则上不超过40万元，其它综合类课题原则上不超过25万元，专项类课题原则上不超过15万元。</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七、联系方式</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通信地址：杭州市西湖区省府路8号省府大院1号楼， 浙江省发展和改革委员会发展战略和规划处（邮编：310025）</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联系人：王卓，0571-87054730（电话）</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汤阳，0571-87052919（电话）</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传  真：0571-81050552</w:t>
            </w:r>
            <w:r>
              <w:rPr>
                <w:rFonts w:hint="eastAsia" w:ascii="宋体" w:hAnsi="宋体" w:eastAsia="宋体" w:cs="宋体"/>
                <w:color w:val="333333"/>
                <w:sz w:val="21"/>
                <w:szCs w:val="21"/>
              </w:rPr>
              <w:br w:type="textWrapping"/>
            </w:r>
            <w:r>
              <w:rPr>
                <w:rFonts w:hint="eastAsia" w:ascii="宋体" w:hAnsi="宋体" w:eastAsia="宋体" w:cs="宋体"/>
                <w:color w:val="333333"/>
                <w:sz w:val="21"/>
                <w:szCs w:val="21"/>
              </w:rPr>
              <w:t>　　电子邮箱：chenx.fgw@zj.gov.cn</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35175A"/>
    <w:rsid w:val="1B894F71"/>
    <w:rsid w:val="753517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2019-05-09T00:27:00Z</dcterms:created>
  <dc:creator>敏</dc:creator>
  <cp:lastModifiedBy>敏</cp:lastModifiedBy>
  <dcterms:modified xsi:type="dcterms:W3CDTF">2019-05-09T00:27:29Z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