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rPr>
          <w:rFonts w:hint="eastAsia" w:ascii="宋体" w:hAnsi="宋体" w:eastAsia="宋体" w:cs="宋体"/>
          <w:b/>
          <w:bCs/>
          <w:spacing w:val="-6"/>
          <w:sz w:val="22"/>
          <w:szCs w:val="22"/>
          <w:highlight w:val="none"/>
          <w:lang w:eastAsia="zh-CN"/>
        </w:rPr>
      </w:pPr>
      <w:r>
        <w:rPr>
          <w:rFonts w:hint="eastAsia" w:ascii="宋体" w:hAnsi="宋体" w:cs="宋体"/>
          <w:b/>
          <w:bCs/>
          <w:spacing w:val="-6"/>
          <w:sz w:val="22"/>
          <w:szCs w:val="22"/>
          <w:highlight w:val="none"/>
          <w:lang w:eastAsia="zh-CN"/>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3"/>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748"/>
        <w:gridCol w:w="1213"/>
        <w:gridCol w:w="227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 w:type="dxa"/>
            <w:noWrap w:val="0"/>
            <w:vAlign w:val="center"/>
          </w:tcPr>
          <w:p>
            <w:pPr>
              <w:spacing w:line="360" w:lineRule="exact"/>
              <w:jc w:val="center"/>
              <w:rPr>
                <w:rFonts w:hint="eastAsia" w:ascii="宋体" w:hAnsi="宋体" w:cs="宋体"/>
                <w:b/>
                <w:spacing w:val="-6"/>
                <w:sz w:val="22"/>
                <w:szCs w:val="22"/>
                <w:highlight w:val="none"/>
              </w:rPr>
            </w:pPr>
            <w:r>
              <w:rPr>
                <w:rFonts w:hint="eastAsia" w:ascii="宋体" w:hAnsi="宋体" w:cs="宋体"/>
                <w:b/>
                <w:spacing w:val="-6"/>
                <w:sz w:val="22"/>
                <w:szCs w:val="22"/>
                <w:highlight w:val="none"/>
              </w:rPr>
              <w:t>序号</w:t>
            </w:r>
          </w:p>
        </w:tc>
        <w:tc>
          <w:tcPr>
            <w:tcW w:w="3748" w:type="dxa"/>
            <w:noWrap w:val="0"/>
            <w:vAlign w:val="center"/>
          </w:tcPr>
          <w:p>
            <w:pPr>
              <w:spacing w:line="360" w:lineRule="exact"/>
              <w:jc w:val="center"/>
              <w:rPr>
                <w:rFonts w:hint="eastAsia" w:ascii="宋体" w:hAnsi="宋体" w:cs="宋体"/>
                <w:b/>
                <w:spacing w:val="-6"/>
                <w:sz w:val="22"/>
                <w:szCs w:val="22"/>
                <w:highlight w:val="none"/>
              </w:rPr>
            </w:pPr>
            <w:r>
              <w:rPr>
                <w:rFonts w:hint="eastAsia" w:ascii="宋体" w:hAnsi="宋体" w:cs="宋体"/>
                <w:b/>
                <w:spacing w:val="-6"/>
                <w:sz w:val="22"/>
                <w:szCs w:val="22"/>
                <w:highlight w:val="none"/>
              </w:rPr>
              <w:t>项目名称</w:t>
            </w:r>
          </w:p>
        </w:tc>
        <w:tc>
          <w:tcPr>
            <w:tcW w:w="1213" w:type="dxa"/>
            <w:noWrap w:val="0"/>
            <w:vAlign w:val="center"/>
          </w:tcPr>
          <w:p>
            <w:pPr>
              <w:spacing w:line="360" w:lineRule="exact"/>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数量</w:t>
            </w:r>
          </w:p>
        </w:tc>
        <w:tc>
          <w:tcPr>
            <w:tcW w:w="2275" w:type="dxa"/>
            <w:noWrap w:val="0"/>
            <w:vAlign w:val="center"/>
          </w:tcPr>
          <w:p>
            <w:pPr>
              <w:spacing w:line="360" w:lineRule="exact"/>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预算金额（万元）</w:t>
            </w:r>
          </w:p>
        </w:tc>
        <w:tc>
          <w:tcPr>
            <w:tcW w:w="1031" w:type="dxa"/>
            <w:noWrap w:val="0"/>
            <w:vAlign w:val="center"/>
          </w:tcPr>
          <w:p>
            <w:pPr>
              <w:spacing w:line="360" w:lineRule="exact"/>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 w:type="dxa"/>
            <w:noWrap w:val="0"/>
            <w:vAlign w:val="center"/>
          </w:tcPr>
          <w:p>
            <w:pPr>
              <w:widowControl/>
              <w:spacing w:line="360" w:lineRule="exact"/>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3748" w:type="dxa"/>
            <w:noWrap w:val="0"/>
            <w:vAlign w:val="center"/>
          </w:tcPr>
          <w:p>
            <w:pPr>
              <w:widowControl/>
              <w:spacing w:line="360" w:lineRule="exact"/>
              <w:jc w:val="center"/>
              <w:rPr>
                <w:rFonts w:hint="eastAsia" w:ascii="宋体" w:hAnsi="宋体" w:cs="宋体"/>
                <w:kern w:val="0"/>
                <w:sz w:val="22"/>
                <w:szCs w:val="22"/>
                <w:highlight w:val="none"/>
              </w:rPr>
            </w:pPr>
            <w:r>
              <w:rPr>
                <w:rFonts w:hint="eastAsia" w:ascii="宋体" w:hAnsi="宋体" w:cs="宋体"/>
                <w:kern w:val="0"/>
                <w:sz w:val="22"/>
                <w:szCs w:val="22"/>
                <w:highlight w:val="none"/>
              </w:rPr>
              <w:t>图书馆智能门禁闸机系统管理</w:t>
            </w:r>
          </w:p>
        </w:tc>
        <w:tc>
          <w:tcPr>
            <w:tcW w:w="1213" w:type="dxa"/>
            <w:noWrap w:val="0"/>
            <w:vAlign w:val="center"/>
          </w:tcPr>
          <w:p>
            <w:pPr>
              <w:spacing w:line="370" w:lineRule="exact"/>
              <w:jc w:val="center"/>
              <w:rPr>
                <w:rFonts w:hint="eastAsia" w:ascii="宋体" w:hAnsi="宋体" w:cs="宋体"/>
                <w:kern w:val="0"/>
                <w:sz w:val="22"/>
                <w:szCs w:val="22"/>
                <w:highlight w:val="none"/>
              </w:rPr>
            </w:pPr>
            <w:r>
              <w:rPr>
                <w:rFonts w:hint="eastAsia" w:ascii="宋体" w:hAnsi="宋体" w:cs="宋体"/>
                <w:sz w:val="22"/>
                <w:szCs w:val="22"/>
                <w:highlight w:val="none"/>
              </w:rPr>
              <w:t>1套</w:t>
            </w:r>
          </w:p>
        </w:tc>
        <w:tc>
          <w:tcPr>
            <w:tcW w:w="2275" w:type="dxa"/>
            <w:noWrap w:val="0"/>
            <w:vAlign w:val="center"/>
          </w:tcPr>
          <w:p>
            <w:pPr>
              <w:spacing w:line="370" w:lineRule="exact"/>
              <w:jc w:val="center"/>
              <w:rPr>
                <w:rFonts w:hint="eastAsia" w:ascii="宋体" w:hAnsi="宋体" w:cs="宋体"/>
                <w:spacing w:val="-6"/>
                <w:sz w:val="22"/>
                <w:szCs w:val="22"/>
                <w:highlight w:val="none"/>
              </w:rPr>
            </w:pPr>
            <w:r>
              <w:rPr>
                <w:rFonts w:hint="eastAsia" w:ascii="宋体" w:hAnsi="宋体" w:cs="宋体"/>
                <w:sz w:val="22"/>
                <w:szCs w:val="22"/>
                <w:highlight w:val="none"/>
              </w:rPr>
              <w:t>23</w:t>
            </w:r>
          </w:p>
        </w:tc>
        <w:tc>
          <w:tcPr>
            <w:tcW w:w="1031" w:type="dxa"/>
            <w:noWrap w:val="0"/>
            <w:vAlign w:val="center"/>
          </w:tcPr>
          <w:p>
            <w:pPr>
              <w:spacing w:line="360" w:lineRule="exact"/>
              <w:jc w:val="center"/>
              <w:rPr>
                <w:rFonts w:hint="eastAsia" w:ascii="宋体" w:hAnsi="宋体" w:cs="宋体"/>
                <w:sz w:val="22"/>
                <w:szCs w:val="22"/>
                <w:highlight w:val="none"/>
              </w:rPr>
            </w:pP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spacing w:val="-6"/>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3"/>
        <w:tblW w:w="92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u w:val="single"/>
              </w:rPr>
            </w:pPr>
            <w:r>
              <w:rPr>
                <w:rFonts w:hint="eastAsia" w:ascii="宋体" w:hAnsi="宋体" w:cs="宋体"/>
                <w:sz w:val="22"/>
                <w:szCs w:val="22"/>
                <w:highlight w:val="none"/>
                <w:u w:val="single"/>
              </w:rPr>
              <w:t>▲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起自动转为质量保证金，一年后无质量问题，资产管理处收到使用部门填写的质保期满验收单后7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验收合格后至少三年。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合同签订后35日历日内交货验收。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质保期内要求 7*24小时售后服务保障。报修后立即响应，24小时内售后服务人员须到达用户现场提供免费上门维护、技术咨询及备品备件服务，现场2小时内解决故障；如现场未能解决的设备问题需返厂维修，</w:t>
            </w:r>
            <w:r>
              <w:rPr>
                <w:rFonts w:hint="eastAsia" w:ascii="宋体" w:hAnsi="宋体" w:cs="宋体"/>
                <w:sz w:val="22"/>
                <w:szCs w:val="22"/>
                <w:highlight w:val="none"/>
                <w:lang w:eastAsia="zh-CN"/>
              </w:rPr>
              <w:t>供应商</w:t>
            </w:r>
            <w:r>
              <w:rPr>
                <w:rFonts w:hint="eastAsia" w:ascii="宋体" w:hAnsi="宋体" w:cs="宋体"/>
                <w:sz w:val="22"/>
                <w:szCs w:val="22"/>
                <w:highlight w:val="none"/>
              </w:rPr>
              <w:t>须免费为用户提供备用机，并在72小时之内安装到位，调试成功。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安装调试及培训</w:t>
            </w:r>
          </w:p>
          <w:p>
            <w:pPr>
              <w:spacing w:line="360" w:lineRule="exact"/>
              <w:jc w:val="center"/>
              <w:rPr>
                <w:rFonts w:hint="eastAsia" w:ascii="宋体" w:hAnsi="宋体" w:cs="宋体"/>
                <w:sz w:val="22"/>
                <w:szCs w:val="22"/>
                <w:highlight w:val="none"/>
              </w:rPr>
            </w:pP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项目涉及所有软硬件须免费安装调试，为保证项目施工质量及运行的稳定性，</w:t>
            </w:r>
            <w:r>
              <w:rPr>
                <w:rFonts w:hint="eastAsia" w:ascii="宋体" w:hAnsi="宋体" w:cs="宋体"/>
                <w:sz w:val="22"/>
                <w:szCs w:val="22"/>
                <w:highlight w:val="none"/>
                <w:lang w:eastAsia="zh-CN"/>
              </w:rPr>
              <w:t>供应商</w:t>
            </w:r>
            <w:r>
              <w:rPr>
                <w:rFonts w:hint="eastAsia" w:ascii="宋体" w:hAnsi="宋体" w:cs="宋体"/>
                <w:sz w:val="22"/>
                <w:szCs w:val="22"/>
                <w:highlight w:val="none"/>
              </w:rPr>
              <w:t>须配备不少于 1 名系统集成项目经理，负责整体项目施工监察；在系统安装调试完毕后，</w:t>
            </w:r>
            <w:r>
              <w:rPr>
                <w:rFonts w:hint="eastAsia" w:ascii="宋体" w:hAnsi="宋体" w:cs="宋体"/>
                <w:sz w:val="22"/>
                <w:szCs w:val="22"/>
                <w:highlight w:val="none"/>
                <w:lang w:eastAsia="zh-CN"/>
              </w:rPr>
              <w:t>供应商</w:t>
            </w:r>
            <w:r>
              <w:rPr>
                <w:rFonts w:hint="eastAsia" w:ascii="宋体" w:hAnsi="宋体" w:cs="宋体"/>
                <w:sz w:val="22"/>
                <w:szCs w:val="22"/>
                <w:highlight w:val="none"/>
              </w:rPr>
              <w:t>须提供 3 次以上技术培训，负责培训 1-2名能对设备正常使用和维护的操作管理人员。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验收标准</w:t>
            </w:r>
          </w:p>
        </w:tc>
        <w:tc>
          <w:tcPr>
            <w:tcW w:w="8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1、所供设备在现场进行到货验收时，卖方需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pPr>
              <w:snapToGrid w:val="0"/>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2、安装范围包括设备本身及软件系统的安装，安装需符合有关标准和规范。安装过程中采购人将对安装质量进行监督。</w:t>
            </w:r>
          </w:p>
          <w:p>
            <w:pPr>
              <w:snapToGrid w:val="0"/>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3、安装完毕后，卖方应派遣有经验的工程技术人员与买方一起进行设备的调试及试运行，买方可以要求卖方或具有检测资质的第三方用专用仪器进行性能测试，卖方负责测试和调试所需的人员、工具、材料、仪器及一切费用，并填写测试报告交由采购人存档。如需买方派有关人员配合，卖方在设备安装调试前三天提出需配合工作的人员、数量等计划书交与买方，以便买方提前作好准备，确保整个项目顺利进行。卖方需在安装结束前将测试和调试方法交与买方，并经其同意后方可执行。</w:t>
            </w:r>
          </w:p>
          <w:p>
            <w:pPr>
              <w:snapToGrid w:val="0"/>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4、设备经过试运行后达到并符合合同要求，其中故障和隐患均已排除或解决，并使买方满意，所有的技术资料和图纸均已向买方提交并被接受，验收视为合格，双方签署验收证书后，设备才视为接受。若因卖方产品质量或安装技术问题导致验收不合格，卖方应及时予以处理，直至验收合格，期间发生的一切相关费用由卖方承担，买方保留向卖方索赔的权利。</w:t>
            </w:r>
          </w:p>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5、卖方在设备到货、安装、调试和验收期间应采取严格的安全措施，承担由于自身原因所造成的事故责任及其发生的一切费用。</w:t>
            </w:r>
          </w:p>
        </w:tc>
      </w:tr>
    </w:tbl>
    <w:p>
      <w:pPr>
        <w:numPr>
          <w:ilvl w:val="0"/>
          <w:numId w:val="0"/>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lang w:eastAsia="zh-CN"/>
        </w:rPr>
        <w:t>三、</w:t>
      </w:r>
      <w:r>
        <w:rPr>
          <w:rFonts w:hint="eastAsia" w:ascii="宋体" w:hAnsi="宋体" w:cs="宋体"/>
          <w:b/>
          <w:bCs/>
          <w:spacing w:val="-6"/>
          <w:sz w:val="22"/>
          <w:szCs w:val="22"/>
          <w:highlight w:val="none"/>
        </w:rPr>
        <w:t>技术要求</w:t>
      </w:r>
    </w:p>
    <w:p>
      <w:pPr>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为切实维护图书馆的安静看书、学习写作环境，针对图书馆进出口处设置门禁系统，该系统包含人员出入控制、实时监控、保安防盗报警等多种功能，对师生身份核验和进出进行有效的管理，方便师生及内部员工出入，杜绝外来人员随意进出，该系统技术要求如下：</w:t>
      </w:r>
    </w:p>
    <w:p>
      <w:pPr>
        <w:spacing w:line="400" w:lineRule="exact"/>
        <w:rPr>
          <w:rFonts w:hint="eastAsia" w:ascii="宋体" w:hAnsi="宋体" w:cs="宋体"/>
          <w:sz w:val="22"/>
          <w:szCs w:val="22"/>
          <w:highlight w:val="none"/>
        </w:rPr>
      </w:pPr>
      <w:r>
        <w:rPr>
          <w:rFonts w:hint="eastAsia" w:ascii="宋体" w:hAnsi="宋体" w:cs="宋体"/>
          <w:sz w:val="22"/>
          <w:szCs w:val="22"/>
          <w:highlight w:val="none"/>
        </w:rPr>
        <w:t xml:space="preserve">  （一）门禁管理系统（双向四通道）</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sz w:val="22"/>
          <w:szCs w:val="22"/>
          <w:highlight w:val="none"/>
          <w:u w:val="single"/>
        </w:rPr>
        <w:t>采用翼闸式（剪刀式）门禁闸机。采用双向刷卡模式，与图书防盗监测仪配套使用。闸机主板采用低功耗、不发热、不死机的嵌入式工业(单板)控制器（主板工作温度范围-20℃～80℃）。闸机电机须采用性能优越的伺服控制电机。闸机主体材料采用优质不锈钢结构，扇门板采用高档亚克力材料制作，不得采用易老化、开裂的橡胶材质。</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身份认证：采用双重认证机制，同时通过校园一卡通和图书馆管理系统数据库的认证。读者持证件在闸机上刷卡或刷脸验证有效后，闸机开门放行同时将进出馆记录存放于门禁系统数据库中。无证件及持无效证件者禁止入馆，显示屏显示“非本馆读者”、“过期卡”、“挂失卡”、“重复刷卡”等信息及声光告警提示。</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bCs/>
          <w:sz w:val="22"/>
          <w:szCs w:val="22"/>
          <w:highlight w:val="none"/>
          <w:u w:val="single"/>
        </w:rPr>
        <w:t>门禁系统必须与校园一卡通及图书馆信息管理系统实现无缝连接，与已有的图书馆门禁系统必须整合为统一的管理平台，投标报价须含以上项目的对接、整合费用。</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参数设置：主要包括验卡后有效通过时间、同一张卡重复验卡时间、扇门关闭时间等，参数范围可以根据用户实际情况设置。</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通信协议采用TCP/IP、监控软件采用B/S多层架构。通信速率≥100M，易于扩容、升级。</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信息管理：对门禁数据统计须方便快捷，自带客户端IE浏览器、统计分析软件（B/S架构）；统计结果以WEB方式发布；统计软件能够实时采集数据，产生详细进馆记录；与图书馆局域网连接，记录每次通行信息且可按照读者类别、部门、姓名、班级、通行日期、时间等各种属性形成统计报表和统计图；可以在任何一台联网的计算机上用浏览器查看相关信息，并提供数据导出功能。</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使用校园一卡通刷卡时通过率≥60人/分钟，采用优质传感器，传感器响应时间要求≤0.1秒，验卡速度≤0.15秒，扇门响应时间≤0.3秒。</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闸机大小：长度900-1000毫米、宽度≤300毫米、高度≤1000毫米，双向对称，双向刷卡。</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工作环境：温度 -10~60℃，湿度范围 5%~95%RH；工作电源：220V（AV）±10%；50Hz±4%;闸机耗电：静态：≤100W，动态：≤160W；</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工作噪音：≤50分贝。</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所投产品不得有侵犯任何第三方知识产权等侵权行为。</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供应商须自行解决与图书馆信息管理系统、一卡通系统、学院第三方人脸识别系统的接入，保证所提供门禁能到馆安装后实施无缝对接，正常使用。</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sz w:val="22"/>
          <w:szCs w:val="22"/>
          <w:highlight w:val="none"/>
        </w:rPr>
        <w:t>门禁通道要与图书防盗仪做联动模式，门禁通道与图书防盗仪竖排摆放，读者先走图书防盗仪，如防盗仪不报警读者可刷卡从门禁通道正常通行，如果读者有未消磁的书本则出防盗仪时防盗仪报警，防盗仪将报警信号输出对应门禁通道,收到报警信号后对应的门禁通道刷不了卡，该读者退出通道则报警取消，通道正常运行。</w:t>
      </w:r>
    </w:p>
    <w:p>
      <w:pPr>
        <w:numPr>
          <w:ilvl w:val="0"/>
          <w:numId w:val="1"/>
        </w:numPr>
        <w:spacing w:line="400" w:lineRule="exact"/>
        <w:ind w:lef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sz w:val="22"/>
          <w:szCs w:val="22"/>
          <w:highlight w:val="none"/>
          <w:u w:val="single"/>
        </w:rPr>
        <w:t>门禁系统数据库必须向采购人开放，提供数据字典，并提供包含类别、部门、姓名、班级、通行日期、时间等字段的读者通行信息视图，以及未能通过人员的相关信息视图。</w:t>
      </w:r>
    </w:p>
    <w:p>
      <w:pPr>
        <w:spacing w:line="400" w:lineRule="exact"/>
        <w:rPr>
          <w:rFonts w:hint="eastAsia" w:ascii="宋体" w:hAnsi="宋体" w:cs="宋体"/>
          <w:sz w:val="22"/>
          <w:szCs w:val="22"/>
          <w:highlight w:val="none"/>
        </w:rPr>
      </w:pPr>
      <w:r>
        <w:rPr>
          <w:rFonts w:hint="eastAsia" w:ascii="宋体" w:hAnsi="宋体" w:cs="宋体"/>
          <w:sz w:val="22"/>
          <w:szCs w:val="22"/>
          <w:highlight w:val="none"/>
        </w:rPr>
        <w:t>（二）人脸识别模块</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u w:val="single"/>
        </w:rPr>
      </w:pPr>
      <w:r>
        <w:rPr>
          <w:rFonts w:hint="eastAsia" w:ascii="宋体" w:hAnsi="宋体" w:cs="宋体"/>
          <w:sz w:val="22"/>
          <w:szCs w:val="22"/>
          <w:highlight w:val="none"/>
        </w:rPr>
        <w:t>1.</w:t>
      </w:r>
      <w:r>
        <w:rPr>
          <w:rFonts w:hint="eastAsia" w:ascii="宋体" w:hAnsi="宋体" w:cs="宋体"/>
          <w:spacing w:val="-6"/>
          <w:sz w:val="22"/>
          <w:szCs w:val="22"/>
          <w:highlight w:val="none"/>
        </w:rPr>
        <w:t xml:space="preserve"> </w:t>
      </w:r>
      <w:r>
        <w:rPr>
          <w:rFonts w:hint="eastAsia" w:ascii="宋体" w:hAnsi="宋体" w:cs="宋体"/>
          <w:b/>
          <w:sz w:val="22"/>
          <w:szCs w:val="22"/>
          <w:highlight w:val="none"/>
          <w:u w:val="single"/>
        </w:rPr>
        <w:t>▲</w:t>
      </w:r>
      <w:r>
        <w:rPr>
          <w:rFonts w:hint="eastAsia" w:ascii="宋体" w:hAnsi="宋体" w:cs="宋体"/>
          <w:sz w:val="22"/>
          <w:szCs w:val="22"/>
          <w:highlight w:val="none"/>
          <w:u w:val="single"/>
        </w:rPr>
        <w:t>人脸库容量及算法</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rPr>
        <w:t>系统人脸库容量不小于50000张人脸白名单，支持100000笔记录存储。人脸识别算法须采用成熟可靠算法。</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2.闸机人脸验证模块</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1）人脸识别模块摄像头、显示屏须一体化整体安装在闸机上，采用10.1英寸LCD触摸显示屏；补光灯亮度自动调节；200万像素双目宽动态摄像头；支持照片视频防假。</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2）人脸距离摄像头0.3m-1.5m时即可有效自动抓取。读者只需在闸机入口处看屏幕，摄像头即自动跟踪抓取人脸，不采用被动式抓取方式（读者人脸需要移动到屏幕指定区域内方可抓取）。</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3）人脸识别模块需与校园一卡通系统进行无缝对接，人脸验证成功的读者须再次和校园一卡通对接验证该读者的卡有效期等信息，验证成功后闸机开门放行。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b/>
          <w:sz w:val="22"/>
          <w:szCs w:val="22"/>
          <w:highlight w:val="none"/>
          <w:u w:val="single"/>
        </w:rPr>
        <w:t>▲</w:t>
      </w:r>
      <w:r>
        <w:rPr>
          <w:rFonts w:hint="eastAsia" w:ascii="宋体" w:hAnsi="宋体" w:cs="宋体"/>
          <w:sz w:val="22"/>
          <w:szCs w:val="22"/>
          <w:highlight w:val="none"/>
          <w:u w:val="single"/>
        </w:rPr>
        <w:t>人脸识别模块需与门禁系统管理软件进行无缝对接，实现在一段时间内同一人刷脸后，再次刷卡不得进入或者同一人先刷卡，再次刷脸后不得进入。人脸识别入馆记录与校园卡进馆记录一并写入门禁系统统计数据表中，管理员可以也在门禁系统后台数据库中单独查询人脸识别的通行记录。</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5）设备应支持人脸、刷卡+人脸、智能模式等多种认证组合方式，支持人脸识别功能，现场抓拍人脸照片与本地人脸库照片进行比对，进行人员身份核验，1：N人脸比对时间：＜0.5秒。设备应支持本地单机人证比对或人脸比对，支持与第三方平台或设备联网对接实现人脸比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6）通讯方式：采用双网口设计，上行通讯为TCP/IP；支持WIFI传输；支持通过RS485或wiegand外接读卡器，实现刷卡开门。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7）设备接口：LAN*2，彼此物理隔离；RS485*1；韦根*1；USB *1；喇叭扬声器；门磁*1、开门按钮*1、报警输入*2；电锁*1、报警输出；人脸识别成功后，可将读者卡号输出给门禁闸机。</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b/>
          <w:spacing w:val="-6"/>
          <w:sz w:val="22"/>
          <w:szCs w:val="22"/>
          <w:highlight w:val="none"/>
        </w:rPr>
      </w:pPr>
      <w:r>
        <w:rPr>
          <w:rFonts w:hint="eastAsia" w:ascii="宋体" w:hAnsi="宋体" w:cs="宋体"/>
          <w:sz w:val="22"/>
          <w:szCs w:val="22"/>
          <w:highlight w:val="none"/>
        </w:rPr>
        <w:t>8）使用环境：室内外，IP65；工作温度：-20~65℃；工作电压：DC 12V/3A，从门禁通道取电。</w:t>
      </w:r>
    </w:p>
    <w:p>
      <w:pPr>
        <w:spacing w:line="360" w:lineRule="exact"/>
        <w:rPr>
          <w:rFonts w:hint="eastAsia" w:ascii="宋体" w:hAnsi="宋体" w:cs="宋体"/>
          <w:b/>
          <w:spacing w:val="-6"/>
          <w:sz w:val="22"/>
          <w:szCs w:val="22"/>
          <w:highlight w:val="none"/>
        </w:rPr>
      </w:pPr>
      <w:r>
        <w:rPr>
          <w:rFonts w:hint="eastAsia" w:ascii="宋体" w:hAnsi="宋体" w:cs="宋体"/>
          <w:b/>
          <w:spacing w:val="-6"/>
          <w:sz w:val="22"/>
          <w:szCs w:val="22"/>
          <w:highlight w:val="none"/>
        </w:rPr>
        <w:t>四、备注</w:t>
      </w:r>
    </w:p>
    <w:p>
      <w:pPr>
        <w:spacing w:line="360" w:lineRule="exact"/>
        <w:ind w:firstLine="418" w:firstLineChars="200"/>
        <w:rPr>
          <w:rFonts w:hint="eastAsia" w:ascii="宋体" w:hAnsi="宋体" w:cs="宋体"/>
          <w:b/>
          <w:spacing w:val="-6"/>
          <w:sz w:val="22"/>
          <w:szCs w:val="22"/>
          <w:highlight w:val="none"/>
        </w:rPr>
      </w:pPr>
      <w:r>
        <w:rPr>
          <w:rFonts w:hint="eastAsia" w:ascii="宋体" w:hAnsi="宋体" w:cs="宋体"/>
          <w:b/>
          <w:spacing w:val="-6"/>
          <w:sz w:val="22"/>
          <w:szCs w:val="22"/>
          <w:highlight w:val="none"/>
        </w:rPr>
        <w:t>带“▲且加下划线”的有关技术和商务要求为实质性条款，响应方必须做出实质性响应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B2005"/>
    <w:multiLevelType w:val="singleLevel"/>
    <w:tmpl w:val="1C3B2005"/>
    <w:lvl w:ilvl="0" w:tentative="0">
      <w:start w:val="1"/>
      <w:numFmt w:val="decimal"/>
      <w:suff w:val="nothing"/>
      <w:lvlText w:val="%1．"/>
      <w:lvlJc w:val="left"/>
      <w:pPr>
        <w:ind w:left="26"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963F4"/>
    <w:rsid w:val="2DBF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Chars="-120"/>
      <w:jc w:val="left"/>
    </w:pPr>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2019-04-24T01:51:25Z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