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noWrap w:val="0"/>
            <w:vAlign w:val="top"/>
          </w:tcPr>
          <w:p>
            <w:pPr>
              <w:rPr>
                <w:rFonts w:ascii="宋体" w:hAnsi="宋体"/>
                <w:b/>
                <w:sz w:val="22"/>
                <w:szCs w:val="22"/>
                <w:highlight w:val="none"/>
              </w:rPr>
            </w:pPr>
            <w:r>
              <w:rPr>
                <w:rFonts w:ascii="宋体" w:hAnsi="宋体"/>
                <w:b/>
                <w:sz w:val="22"/>
                <w:szCs w:val="22"/>
                <w:highlight w:val="none"/>
              </w:rPr>
              <w:t>一．现有支撑平台情况</w:t>
            </w:r>
          </w:p>
          <w:p>
            <w:pPr>
              <w:ind w:firstLine="440" w:firstLineChars="200"/>
              <w:rPr>
                <w:sz w:val="22"/>
                <w:szCs w:val="22"/>
                <w:highlight w:val="none"/>
              </w:rPr>
            </w:pPr>
            <w:r>
              <w:rPr>
                <w:sz w:val="22"/>
                <w:szCs w:val="22"/>
                <w:highlight w:val="none"/>
              </w:rPr>
              <w:t>我院目前在用的OA系统为泛微协同管理平台（ecology 8.0），其主要功能如下：</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系统与现有业务系统实现用户统一管理，方便业务应用系统的统一入口。</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平台采用国际Portal技术框架设计，遵循JSR168或JSR268技术标准，通过Portlet元素化设计，能根据不同需求快速配置出不同主题的信息门户，支持图片、视频、flash、期刊、图表、天气、RSS等不同元素。</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可建设包括个人办公门户、政务门户、各系部政务门户、职工之家、政策法规、党建学习、知识之窗等多门户。</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实现信息的集中发布，具有审核以及知悉范围的定义。</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门户平台支持分级权限管理，不同机构可以设置独立的门户管理员，并且支持分层门户样式设计。</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针对不同的门户可自定义分权管理维护者，并约束查看范围。由于所处部门、所在岗位的不同，用户可自行定义日常工作所需关注的信息及不同的处理事项。</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实现以领导决策为导向，进行信息采集、汇总、存储、管理、统计分析、发布，使各类用户能够快速获得应得到的信息。</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借助信息门户系统实现对其他第三方系统的界面整合。</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对于一些基于B/S结构的信息系统，可在信息门户中可以看到各业务系统的页面或统计报表数据。</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实现根据我院的形象快速调整信息门户的展现样式。</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权限要求：针对不同的门户可自定义分权管理维护者，并约束查看范围。</w:t>
            </w:r>
          </w:p>
          <w:p>
            <w:pPr>
              <w:pStyle w:val="5"/>
              <w:numPr>
                <w:ilvl w:val="0"/>
                <w:numId w:val="1"/>
              </w:numPr>
              <w:spacing w:line="360" w:lineRule="auto"/>
              <w:ind w:firstLineChars="0"/>
              <w:rPr>
                <w:rFonts w:ascii="Arial" w:hAnsi="Arial" w:cs="Arial"/>
                <w:color w:val="000000"/>
                <w:sz w:val="22"/>
                <w:szCs w:val="22"/>
                <w:highlight w:val="none"/>
              </w:rPr>
            </w:pPr>
            <w:bookmarkStart w:id="0" w:name="_Toc383790182"/>
            <w:r>
              <w:rPr>
                <w:rFonts w:ascii="Arial" w:hAnsi="Arial" w:cs="Arial"/>
                <w:color w:val="000000"/>
                <w:sz w:val="22"/>
                <w:szCs w:val="22"/>
                <w:highlight w:val="none"/>
              </w:rPr>
              <w:t>流程管理要求</w:t>
            </w:r>
            <w:bookmarkEnd w:id="0"/>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建立统一的工作流程管理平台，进行跨部门的协作，支持工作流的分级管理和控制机制。</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支持自定义各种简单到复杂的流程，从信息表单、流转步骤，到流转条件、操作人员等，可在平台中快速设置符合温职院规范的流程。</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工作流平台必须采用图形化设计器，实现流程定制功能，流程的定制能与组织结构绑定；用户可自行定义流程表单信息内容以及所需要审批的路径环节；对复杂流程模式的支持，如并行、回退、条件分支、自由流等；支持子流程嵌套以及流程脚本语言编写；支持对各流程环节的编辑和控制功能；支持委托授权、移交、流程干预、流程跟踪与监控等；和文档管理平台集成；能够支持针对流程表单的Excel直接导入功能。</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流程节点的权限可多种方式实施：系统事先确定、流程发起者指定、根据前一结点的执行情况由前一结点的执行者确定、根据流程的执行情况由某一结点的执行者确定后续结点的流向及流程结点的执行者。</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系统应能提供独立的具有自主产权的工作流程引擎、表单建模功能，并能够方便的实现工作流程与其他模块之间信息的协同。</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实现内部流程管理优化，通过效率分析产生数据，帮助适时优化内部流程；</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提供流程数据报表：自定义的流程和数据报表，快速呈现数据统计；</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灵活的工作流程配置：从字段、表单到流程路径的全面开放，方便日常流程的变更和快速调整。在流程中查看关联数据，使得数据帮助审批人快速审批；</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对文档的存放、阅读和查找进行有效的组织与控制，并提供快捷的检索工具。</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建立温职院文档管理机制，实现文档在温职院范围内的共享和传递。将各种文档分门别类进行层次化的目录管理，使用关键字或全文索引，方便员工检索和查阅文档。实现对文档处理周期的管理，包括文档的撰写、审阅、批准、发布、存档等各个环节。对文档进行版本控制，保证用户所访问的是最新和有效的文档。实现文档处理过程的工作流自动化，如自动发送审批请求、自动催办等。能够实现档案与流程模块的自动推送、管控等细节点的打通。</w:t>
            </w:r>
          </w:p>
          <w:p>
            <w:pPr>
              <w:pStyle w:val="5"/>
              <w:numPr>
                <w:ilvl w:val="0"/>
                <w:numId w:val="1"/>
              </w:numPr>
              <w:spacing w:line="360" w:lineRule="auto"/>
              <w:ind w:firstLineChars="0"/>
              <w:rPr>
                <w:rFonts w:ascii="Arial" w:hAnsi="Arial" w:cs="Arial"/>
                <w:color w:val="000000"/>
                <w:sz w:val="22"/>
                <w:szCs w:val="22"/>
                <w:highlight w:val="none"/>
              </w:rPr>
            </w:pPr>
            <w:r>
              <w:rPr>
                <w:rFonts w:ascii="Arial" w:hAnsi="Arial" w:cs="Arial"/>
                <w:color w:val="000000"/>
                <w:sz w:val="22"/>
                <w:szCs w:val="22"/>
                <w:highlight w:val="none"/>
              </w:rPr>
              <w:t>有效地进行安全性控制，以信息技术的手段对各种文档实行分层次、分级别的权限管理，通过系统日志等手段对重要文档的使用情况进行监督管理。</w:t>
            </w:r>
          </w:p>
          <w:p>
            <w:pPr>
              <w:spacing w:line="360" w:lineRule="auto"/>
              <w:ind w:firstLine="550" w:firstLineChars="250"/>
              <w:rPr>
                <w:rFonts w:ascii="Arial" w:hAnsi="Arial" w:cs="Arial"/>
                <w:color w:val="000000"/>
                <w:sz w:val="22"/>
                <w:szCs w:val="22"/>
                <w:highlight w:val="none"/>
              </w:rPr>
            </w:pPr>
            <w:r>
              <w:rPr>
                <w:rFonts w:ascii="Arial" w:hAnsi="Arial" w:cs="Arial"/>
                <w:color w:val="000000"/>
                <w:sz w:val="22"/>
                <w:szCs w:val="22"/>
                <w:highlight w:val="none"/>
              </w:rPr>
              <w:t>另下，平台还具备以下系统管理功能。</w:t>
            </w:r>
          </w:p>
          <w:p>
            <w:pPr>
              <w:spacing w:line="360" w:lineRule="auto"/>
              <w:ind w:firstLine="550" w:firstLineChars="250"/>
              <w:rPr>
                <w:rFonts w:ascii="Arial" w:hAnsi="Arial" w:cs="Arial"/>
                <w:color w:val="000000"/>
                <w:sz w:val="22"/>
                <w:szCs w:val="22"/>
                <w:highlight w:val="none"/>
              </w:rPr>
            </w:pPr>
            <w:r>
              <w:rPr>
                <w:rFonts w:ascii="Arial" w:hAnsi="Arial" w:cs="Arial"/>
                <w:color w:val="000000"/>
                <w:sz w:val="22"/>
                <w:szCs w:val="22"/>
                <w:highlight w:val="none"/>
              </w:rPr>
              <w:t xml:space="preserve">组织架构要按现有的组织架构和用户体系来设置。用户可通过传统树状的组织结构形式逐级查询人员、也可以自定义组、自定义查询等方法来利用组织树查询。 </w:t>
            </w:r>
          </w:p>
          <w:p>
            <w:pPr>
              <w:spacing w:line="360" w:lineRule="auto"/>
              <w:ind w:firstLine="550" w:firstLineChars="250"/>
              <w:rPr>
                <w:rFonts w:ascii="Arial" w:hAnsi="Arial" w:cs="Arial"/>
                <w:color w:val="000000"/>
                <w:sz w:val="22"/>
                <w:szCs w:val="22"/>
                <w:highlight w:val="none"/>
              </w:rPr>
            </w:pPr>
            <w:r>
              <w:rPr>
                <w:rFonts w:ascii="Arial" w:hAnsi="Arial" w:cs="Arial"/>
                <w:color w:val="000000"/>
                <w:sz w:val="22"/>
                <w:szCs w:val="22"/>
                <w:highlight w:val="none"/>
              </w:rPr>
              <w:t>组织机构配置管理主要用于定义部门的组织机构图，通过定义部门的属性及其之间的关系，可以形成树状组织机构图，机构配置中常包含的项目有：部门编号、部门名称、部门发文字号、部门排序号等。需要实现角色管理、权限管理、界面管理、日志管理、其他管理。</w:t>
            </w:r>
          </w:p>
          <w:p>
            <w:pPr>
              <w:spacing w:line="360" w:lineRule="auto"/>
              <w:ind w:firstLine="550" w:firstLineChars="250"/>
              <w:rPr>
                <w:rFonts w:ascii="Arial" w:hAnsi="Arial" w:cs="Arial"/>
                <w:color w:val="000000"/>
                <w:sz w:val="22"/>
                <w:szCs w:val="22"/>
                <w:highlight w:val="none"/>
              </w:rPr>
            </w:pPr>
            <w:r>
              <w:rPr>
                <w:rFonts w:ascii="Arial" w:hAnsi="Arial" w:cs="Arial"/>
                <w:color w:val="000000"/>
                <w:sz w:val="22"/>
                <w:szCs w:val="22"/>
                <w:highlight w:val="none"/>
              </w:rPr>
              <w:t>有一整套非常灵活的基于对象权限和用户角色概念的授权机制。系统既可以提供完整的预定义权限，也可以根据应用需要，设置各种细微、具体的权限控制，包括了对系统内的每一个操作的权限授权与管理。为便于用户自身进行个人工作内容的管理，满足个性化的办公习惯及需求，需要系统自身具备个性化界面配置，布局及内容的自定义。实现对系统的管理安全，以及对突发事件的及时处理与追逆，需要对系统的登录、操作、浏览等进行记录与管理。并且可以根据实际情况对日志文件进行保留、删除，并且对日志文件的大小以及保管的期限做设定。实现系统正常运行的一系列维护工具。在系统管理模块中，系统需要提供工作流定制工具、公文表单定制工具、报表定制工具等多种系统自定义工具。其中的工作流定制工具需要基于流转引擎，完全可以由客户根据需要定义出各种流程，不需要编写代码。另外，系统也要提供了完整的备份和恢复工具，帮助用户在系统出现问题时能够快速恢复整个系统，保证系统的正常使用。</w:t>
            </w:r>
          </w:p>
          <w:p>
            <w:pPr>
              <w:rPr>
                <w:b/>
                <w:sz w:val="22"/>
                <w:szCs w:val="22"/>
                <w:highlight w:val="none"/>
              </w:rPr>
            </w:pPr>
            <w:r>
              <w:rPr>
                <w:b/>
                <w:sz w:val="22"/>
                <w:szCs w:val="22"/>
                <w:highlight w:val="none"/>
              </w:rPr>
              <w:t>二．</w:t>
            </w:r>
            <w:r>
              <w:rPr>
                <w:rFonts w:hint="eastAsia"/>
                <w:b/>
                <w:sz w:val="22"/>
                <w:szCs w:val="22"/>
                <w:highlight w:val="none"/>
                <w:lang w:eastAsia="zh-CN"/>
              </w:rPr>
              <w:t>OA系统升级改造</w:t>
            </w:r>
            <w:r>
              <w:rPr>
                <w:b/>
                <w:sz w:val="22"/>
                <w:szCs w:val="22"/>
                <w:highlight w:val="none"/>
              </w:rPr>
              <w:t>要求</w:t>
            </w:r>
          </w:p>
          <w:p>
            <w:pPr>
              <w:spacing w:before="120" w:beforeLines="50" w:after="120" w:afterLines="50"/>
              <w:rPr>
                <w:b/>
                <w:sz w:val="22"/>
                <w:szCs w:val="22"/>
                <w:highlight w:val="none"/>
              </w:rPr>
            </w:pPr>
            <w:r>
              <w:rPr>
                <w:b/>
                <w:sz w:val="22"/>
                <w:szCs w:val="22"/>
                <w:highlight w:val="none"/>
              </w:rPr>
              <w:t>1．现有流程改进</w:t>
            </w:r>
          </w:p>
          <w:p>
            <w:pPr>
              <w:rPr>
                <w:rFonts w:ascii="Arial" w:hAnsi="Arial" w:cs="Arial"/>
                <w:color w:val="000000"/>
                <w:sz w:val="22"/>
                <w:szCs w:val="22"/>
                <w:highlight w:val="none"/>
              </w:rPr>
            </w:pPr>
            <w:r>
              <w:rPr>
                <w:rFonts w:ascii="Arial" w:hAnsi="Arial" w:cs="Arial"/>
                <w:color w:val="000000"/>
                <w:sz w:val="22"/>
                <w:szCs w:val="22"/>
                <w:highlight w:val="none"/>
              </w:rPr>
              <w:t>1）现有流程清单如下（共计</w:t>
            </w:r>
            <w:r>
              <w:rPr>
                <w:rFonts w:hint="eastAsia" w:ascii="Arial" w:hAnsi="Arial" w:cs="Arial"/>
                <w:color w:val="000000"/>
                <w:sz w:val="22"/>
                <w:szCs w:val="22"/>
                <w:highlight w:val="none"/>
                <w:lang w:val="en-US" w:eastAsia="zh-CN"/>
              </w:rPr>
              <w:t>63</w:t>
            </w:r>
            <w:r>
              <w:rPr>
                <w:rFonts w:ascii="Arial" w:hAnsi="Arial" w:cs="Arial"/>
                <w:color w:val="000000"/>
                <w:sz w:val="22"/>
                <w:szCs w:val="22"/>
                <w:highlight w:val="none"/>
              </w:rPr>
              <w:t>条）：</w:t>
            </w:r>
          </w:p>
          <w:tbl>
            <w:tblPr>
              <w:tblStyle w:val="3"/>
              <w:tblW w:w="6426" w:type="dxa"/>
              <w:tblInd w:w="95" w:type="dxa"/>
              <w:tblLayout w:type="fixed"/>
              <w:tblCellMar>
                <w:top w:w="0" w:type="dxa"/>
                <w:left w:w="108" w:type="dxa"/>
                <w:bottom w:w="0" w:type="dxa"/>
                <w:right w:w="108" w:type="dxa"/>
              </w:tblCellMar>
            </w:tblPr>
            <w:tblGrid>
              <w:gridCol w:w="1126"/>
              <w:gridCol w:w="5300"/>
            </w:tblGrid>
            <w:tr>
              <w:tblPrEx>
                <w:tblLayout w:type="fixed"/>
                <w:tblCellMar>
                  <w:top w:w="0" w:type="dxa"/>
                  <w:left w:w="108" w:type="dxa"/>
                  <w:bottom w:w="0" w:type="dxa"/>
                  <w:right w:w="108" w:type="dxa"/>
                </w:tblCellMar>
              </w:tblPrEx>
              <w:trPr>
                <w:trHeight w:val="420" w:hRule="atLeast"/>
              </w:trPr>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sz w:val="22"/>
                      <w:szCs w:val="22"/>
                      <w:highlight w:val="none"/>
                    </w:rPr>
                  </w:pPr>
                  <w:r>
                    <w:rPr>
                      <w:rFonts w:ascii="宋体" w:hAnsi="宋体" w:cs="宋体"/>
                      <w:b/>
                      <w:bCs/>
                      <w:color w:val="000000"/>
                      <w:sz w:val="22"/>
                      <w:szCs w:val="22"/>
                      <w:highlight w:val="none"/>
                    </w:rPr>
                    <w:t>部门</w:t>
                  </w:r>
                </w:p>
              </w:tc>
              <w:tc>
                <w:tcPr>
                  <w:tcW w:w="530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sz w:val="22"/>
                      <w:szCs w:val="22"/>
                      <w:highlight w:val="none"/>
                    </w:rPr>
                  </w:pPr>
                  <w:r>
                    <w:rPr>
                      <w:rFonts w:ascii="宋体" w:hAnsi="宋体" w:cs="宋体"/>
                      <w:b/>
                      <w:bCs/>
                      <w:color w:val="000000"/>
                      <w:sz w:val="22"/>
                      <w:szCs w:val="22"/>
                      <w:highlight w:val="none"/>
                    </w:rPr>
                    <w:t>流程名称</w:t>
                  </w:r>
                </w:p>
              </w:tc>
            </w:tr>
            <w:tr>
              <w:tblPrEx>
                <w:tblLayout w:type="fixed"/>
                <w:tblCellMar>
                  <w:top w:w="0" w:type="dxa"/>
                  <w:left w:w="108" w:type="dxa"/>
                  <w:bottom w:w="0" w:type="dxa"/>
                  <w:right w:w="108" w:type="dxa"/>
                </w:tblCellMar>
              </w:tblPrEx>
              <w:trPr>
                <w:trHeight w:val="270" w:hRule="atLeast"/>
              </w:trPr>
              <w:tc>
                <w:tcPr>
                  <w:tcW w:w="112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后勤</w:t>
                  </w: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后勤物业零星服务申请</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合同签订审批</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建设项目合同签订审批</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建设项目立项审批（预算外）</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物资申购（预算外）</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用餐审批表</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建设项目立项审批</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临时用电申请</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四方公司发文审批</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四方公司印鉴、证照使用审批</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物资申购</w:t>
                  </w:r>
                </w:p>
              </w:tc>
            </w:tr>
            <w:tr>
              <w:tblPrEx>
                <w:tblLayout w:type="fixed"/>
                <w:tblCellMar>
                  <w:top w:w="0" w:type="dxa"/>
                  <w:left w:w="108" w:type="dxa"/>
                  <w:bottom w:w="0" w:type="dxa"/>
                  <w:right w:w="108" w:type="dxa"/>
                </w:tblCellMar>
              </w:tblPrEx>
              <w:trPr>
                <w:trHeight w:val="270" w:hRule="atLeast"/>
              </w:trPr>
              <w:tc>
                <w:tcPr>
                  <w:tcW w:w="112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保卫处</w:t>
                  </w: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大型活动申请</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机动车通行证申请</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运送货物出门申请</w:t>
                  </w:r>
                </w:p>
              </w:tc>
            </w:tr>
            <w:tr>
              <w:tblPrEx>
                <w:tblLayout w:type="fixed"/>
                <w:tblCellMar>
                  <w:top w:w="0" w:type="dxa"/>
                  <w:left w:w="108" w:type="dxa"/>
                  <w:bottom w:w="0" w:type="dxa"/>
                  <w:right w:w="108" w:type="dxa"/>
                </w:tblCellMar>
              </w:tblPrEx>
              <w:trPr>
                <w:trHeight w:val="270" w:hRule="atLeast"/>
              </w:trPr>
              <w:tc>
                <w:tcPr>
                  <w:tcW w:w="1126" w:type="dxa"/>
                  <w:vMerge w:val="restart"/>
                  <w:tcBorders>
                    <w:top w:val="nil"/>
                    <w:left w:val="single" w:color="auto" w:sz="4" w:space="0"/>
                    <w:right w:val="single" w:color="auto" w:sz="4" w:space="0"/>
                  </w:tcBorders>
                  <w:noWrap/>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科技开发处</w:t>
                  </w: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技术服务机构负责人坐班申请流程</w:t>
                  </w:r>
                </w:p>
              </w:tc>
            </w:tr>
            <w:tr>
              <w:tblPrEx>
                <w:tblLayout w:type="fixed"/>
                <w:tblCellMar>
                  <w:top w:w="0" w:type="dxa"/>
                  <w:left w:w="108" w:type="dxa"/>
                  <w:bottom w:w="0" w:type="dxa"/>
                  <w:right w:w="108" w:type="dxa"/>
                </w:tblCellMar>
              </w:tblPrEx>
              <w:trPr>
                <w:trHeight w:val="270" w:hRule="atLeast"/>
              </w:trPr>
              <w:tc>
                <w:tcPr>
                  <w:tcW w:w="1126" w:type="dxa"/>
                  <w:vMerge w:val="continue"/>
                  <w:tcBorders>
                    <w:left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专利转让申请流程</w:t>
                  </w:r>
                </w:p>
              </w:tc>
            </w:tr>
            <w:tr>
              <w:tblPrEx>
                <w:tblLayout w:type="fixed"/>
                <w:tblCellMar>
                  <w:top w:w="0" w:type="dxa"/>
                  <w:left w:w="108" w:type="dxa"/>
                  <w:bottom w:w="0" w:type="dxa"/>
                  <w:right w:w="108" w:type="dxa"/>
                </w:tblCellMar>
              </w:tblPrEx>
              <w:trPr>
                <w:trHeight w:val="270" w:hRule="atLeast"/>
              </w:trPr>
              <w:tc>
                <w:tcPr>
                  <w:tcW w:w="1126" w:type="dxa"/>
                  <w:vMerge w:val="continue"/>
                  <w:tcBorders>
                    <w:left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专利申请、意见陈述、代理委托、补正等申请流程</w:t>
                  </w:r>
                </w:p>
              </w:tc>
            </w:tr>
            <w:tr>
              <w:tblPrEx>
                <w:tblLayout w:type="fixed"/>
                <w:tblCellMar>
                  <w:top w:w="0" w:type="dxa"/>
                  <w:left w:w="108" w:type="dxa"/>
                  <w:bottom w:w="0" w:type="dxa"/>
                  <w:right w:w="108" w:type="dxa"/>
                </w:tblCellMar>
              </w:tblPrEx>
              <w:trPr>
                <w:trHeight w:val="270" w:hRule="atLeast"/>
              </w:trPr>
              <w:tc>
                <w:tcPr>
                  <w:tcW w:w="1126" w:type="dxa"/>
                  <w:vMerge w:val="continue"/>
                  <w:tcBorders>
                    <w:left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研发机构人员出差申请流程</w:t>
                  </w:r>
                </w:p>
              </w:tc>
            </w:tr>
            <w:tr>
              <w:tblPrEx>
                <w:tblLayout w:type="fixed"/>
                <w:tblCellMar>
                  <w:top w:w="0" w:type="dxa"/>
                  <w:left w:w="108" w:type="dxa"/>
                  <w:bottom w:w="0" w:type="dxa"/>
                  <w:right w:w="108" w:type="dxa"/>
                </w:tblCellMar>
              </w:tblPrEx>
              <w:trPr>
                <w:trHeight w:val="270" w:hRule="atLeast"/>
              </w:trPr>
              <w:tc>
                <w:tcPr>
                  <w:tcW w:w="1126" w:type="dxa"/>
                  <w:vMerge w:val="continue"/>
                  <w:tcBorders>
                    <w:left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科研机构人员住宿申请流程</w:t>
                  </w:r>
                </w:p>
              </w:tc>
            </w:tr>
            <w:tr>
              <w:tblPrEx>
                <w:tblLayout w:type="fixed"/>
                <w:tblCellMar>
                  <w:top w:w="0" w:type="dxa"/>
                  <w:left w:w="108" w:type="dxa"/>
                  <w:bottom w:w="0" w:type="dxa"/>
                  <w:right w:w="108" w:type="dxa"/>
                </w:tblCellMar>
              </w:tblPrEx>
              <w:trPr>
                <w:trHeight w:val="270" w:hRule="atLeast"/>
              </w:trPr>
              <w:tc>
                <w:tcPr>
                  <w:tcW w:w="112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hint="eastAsia" w:ascii="宋体" w:hAnsi="宋体" w:cs="宋体"/>
                      <w:color w:val="000000"/>
                      <w:sz w:val="22"/>
                      <w:szCs w:val="22"/>
                      <w:highlight w:val="none"/>
                    </w:rPr>
                    <w:t>科研设备申购</w:t>
                  </w:r>
                </w:p>
              </w:tc>
            </w:tr>
            <w:tr>
              <w:tblPrEx>
                <w:tblLayout w:type="fixed"/>
                <w:tblCellMar>
                  <w:top w:w="0" w:type="dxa"/>
                  <w:left w:w="108" w:type="dxa"/>
                  <w:bottom w:w="0" w:type="dxa"/>
                  <w:right w:w="108" w:type="dxa"/>
                </w:tblCellMar>
              </w:tblPrEx>
              <w:trPr>
                <w:trHeight w:val="270" w:hRule="atLeast"/>
              </w:trPr>
              <w:tc>
                <w:tcPr>
                  <w:tcW w:w="112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教务处</w:t>
                  </w: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教师发展中心活动申请</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教师补课申请(非公选课版)</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教师补课申请(公选课版)</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教师停课申请(非公选课版)</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教师停课申请(公选课版)</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教师调课申请(非公选课版)</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教师调课申请(公选课版)</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课表调整方案申请</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排课特殊要求申请</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成绩补录流程</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成绩勘误流程</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教研室记录上报</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删除成绩申请流程</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成绩迟录申请流程</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sz w:val="22"/>
                      <w:szCs w:val="22"/>
                      <w:highlight w:val="none"/>
                    </w:rPr>
                  </w:pPr>
                  <w:r>
                    <w:rPr>
                      <w:rFonts w:ascii="宋体" w:hAnsi="宋体" w:cs="宋体"/>
                      <w:sz w:val="22"/>
                      <w:szCs w:val="22"/>
                      <w:highlight w:val="none"/>
                    </w:rPr>
                    <w:t>期末教学检查流程(教师版)</w:t>
                  </w:r>
                </w:p>
              </w:tc>
            </w:tr>
            <w:tr>
              <w:tblPrEx>
                <w:tblLayout w:type="fixed"/>
                <w:tblCellMar>
                  <w:top w:w="0" w:type="dxa"/>
                  <w:left w:w="108" w:type="dxa"/>
                  <w:bottom w:w="0" w:type="dxa"/>
                  <w:right w:w="108" w:type="dxa"/>
                </w:tblCellMar>
              </w:tblPrEx>
              <w:trPr>
                <w:trHeight w:val="270" w:hRule="atLeast"/>
              </w:trPr>
              <w:tc>
                <w:tcPr>
                  <w:tcW w:w="112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人事处</w:t>
                  </w: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教职工公出</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教职工请假</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教职工销假</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教职工加班</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教职工培训申请</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编外工作人员招聘申请</w:t>
                  </w:r>
                </w:p>
              </w:tc>
            </w:tr>
            <w:tr>
              <w:tblPrEx>
                <w:tblLayout w:type="fixed"/>
                <w:tblCellMar>
                  <w:top w:w="0" w:type="dxa"/>
                  <w:left w:w="108" w:type="dxa"/>
                  <w:bottom w:w="0" w:type="dxa"/>
                  <w:right w:w="108" w:type="dxa"/>
                </w:tblCellMar>
              </w:tblPrEx>
              <w:trPr>
                <w:trHeight w:val="270" w:hRule="atLeast"/>
              </w:trPr>
              <w:tc>
                <w:tcPr>
                  <w:tcW w:w="112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宣传部</w:t>
                  </w: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报告会、讲座、论坛申请表</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校园宣传物布置申请表</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互联网平台申请表</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学院官网“通知公告”栏信息发布申请表</w:t>
                  </w:r>
                </w:p>
              </w:tc>
            </w:tr>
            <w:tr>
              <w:tblPrEx>
                <w:tblLayout w:type="fixed"/>
                <w:tblCellMar>
                  <w:top w:w="0" w:type="dxa"/>
                  <w:left w:w="108" w:type="dxa"/>
                  <w:bottom w:w="0" w:type="dxa"/>
                  <w:right w:w="108" w:type="dxa"/>
                </w:tblCellMar>
              </w:tblPrEx>
              <w:trPr>
                <w:trHeight w:val="270" w:hRule="atLeast"/>
              </w:trPr>
              <w:tc>
                <w:tcPr>
                  <w:tcW w:w="112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党院办</w:t>
                  </w: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办公用品与餐券领用</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电话安装拆移变更申请</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会场使用申请</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行政办公设备申购</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学院行事历、领导日程录入审核</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接待审批申请</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督办事项处理申请</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发文处理</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收文处理流程</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车辆使用申请</w:t>
                  </w:r>
                </w:p>
              </w:tc>
            </w:tr>
            <w:tr>
              <w:tblPrEx>
                <w:tblLayout w:type="fixed"/>
                <w:tblCellMar>
                  <w:top w:w="0" w:type="dxa"/>
                  <w:left w:w="108" w:type="dxa"/>
                  <w:bottom w:w="0" w:type="dxa"/>
                  <w:right w:w="108" w:type="dxa"/>
                </w:tblCellMar>
              </w:tblPrEx>
              <w:trPr>
                <w:trHeight w:val="270" w:hRule="atLeast"/>
              </w:trPr>
              <w:tc>
                <w:tcPr>
                  <w:tcW w:w="112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 w:val="22"/>
                      <w:szCs w:val="22"/>
                      <w:highlight w:val="none"/>
                    </w:rPr>
                  </w:pPr>
                  <w:r>
                    <w:rPr>
                      <w:rFonts w:ascii="宋体" w:hAnsi="宋体" w:cs="宋体"/>
                      <w:color w:val="000000"/>
                      <w:sz w:val="22"/>
                      <w:szCs w:val="22"/>
                      <w:highlight w:val="none"/>
                    </w:rPr>
                    <w:t>学生处</w:t>
                  </w: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团委-社团申请流程</w:t>
                  </w:r>
                </w:p>
              </w:tc>
            </w:tr>
            <w:tr>
              <w:tblPrEx>
                <w:tblLayout w:type="fixed"/>
                <w:tblCellMar>
                  <w:top w:w="0" w:type="dxa"/>
                  <w:left w:w="108" w:type="dxa"/>
                  <w:bottom w:w="0" w:type="dxa"/>
                  <w:right w:w="108" w:type="dxa"/>
                </w:tblCellMar>
              </w:tblPrEx>
              <w:trPr>
                <w:trHeight w:val="270" w:hRule="atLeast"/>
              </w:trPr>
              <w:tc>
                <w:tcPr>
                  <w:tcW w:w="112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教学督导处</w:t>
                  </w: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示范课安排管理</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系督导-教学督导工作计划</w:t>
                  </w:r>
                </w:p>
              </w:tc>
            </w:tr>
            <w:tr>
              <w:tblPrEx>
                <w:tblLayout w:type="fixed"/>
                <w:tblCellMar>
                  <w:top w:w="0" w:type="dxa"/>
                  <w:left w:w="108" w:type="dxa"/>
                  <w:bottom w:w="0" w:type="dxa"/>
                  <w:right w:w="108" w:type="dxa"/>
                </w:tblCellMar>
              </w:tblPrEx>
              <w:trPr>
                <w:trHeight w:val="270" w:hRule="atLeast"/>
              </w:trPr>
              <w:tc>
                <w:tcPr>
                  <w:tcW w:w="112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现教中心</w:t>
                  </w: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服务器空间申请表</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开通外网申请</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OA功能修改申请</w:t>
                  </w:r>
                </w:p>
              </w:tc>
            </w:tr>
            <w:tr>
              <w:tblPrEx>
                <w:tblLayout w:type="fixed"/>
                <w:tblCellMar>
                  <w:top w:w="0" w:type="dxa"/>
                  <w:left w:w="108" w:type="dxa"/>
                  <w:bottom w:w="0" w:type="dxa"/>
                  <w:right w:w="108" w:type="dxa"/>
                </w:tblCellMar>
              </w:tblPrEx>
              <w:trPr>
                <w:trHeight w:val="270" w:hRule="atLeast"/>
              </w:trPr>
              <w:tc>
                <w:tcPr>
                  <w:tcW w:w="112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图书馆</w:t>
                  </w: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场地预约申请</w:t>
                  </w:r>
                </w:p>
              </w:tc>
            </w:tr>
            <w:tr>
              <w:tblPrEx>
                <w:tblLayout w:type="fixed"/>
                <w:tblCellMar>
                  <w:top w:w="0" w:type="dxa"/>
                  <w:left w:w="108" w:type="dxa"/>
                  <w:bottom w:w="0" w:type="dxa"/>
                  <w:right w:w="108" w:type="dxa"/>
                </w:tblCellMar>
              </w:tblPrEx>
              <w:trPr>
                <w:trHeight w:val="270" w:hRule="atLeast"/>
              </w:trPr>
              <w:tc>
                <w:tcPr>
                  <w:tcW w:w="1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53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图书荐购申请</w:t>
                  </w:r>
                </w:p>
              </w:tc>
            </w:tr>
          </w:tbl>
          <w:p>
            <w:pPr>
              <w:spacing w:before="120" w:beforeLines="50" w:after="120" w:afterLines="50"/>
              <w:rPr>
                <w:sz w:val="22"/>
                <w:szCs w:val="22"/>
                <w:highlight w:val="none"/>
              </w:rPr>
            </w:pPr>
            <w:r>
              <w:rPr>
                <w:sz w:val="22"/>
                <w:szCs w:val="22"/>
                <w:highlight w:val="none"/>
              </w:rPr>
              <w:t>2）供应商须上门了解流程创建部门对上述流程的改进需求，并按要求进行改进；</w:t>
            </w:r>
          </w:p>
          <w:p>
            <w:pPr>
              <w:spacing w:before="120" w:beforeLines="50" w:after="120" w:afterLines="50"/>
              <w:rPr>
                <w:sz w:val="22"/>
                <w:szCs w:val="22"/>
                <w:highlight w:val="none"/>
              </w:rPr>
            </w:pPr>
            <w:r>
              <w:rPr>
                <w:sz w:val="22"/>
                <w:szCs w:val="22"/>
                <w:highlight w:val="none"/>
              </w:rPr>
              <w:t>3）学院机构与人员归属发生了较大变化，流程中相关的节点等名称要做相应的改变。</w:t>
            </w:r>
          </w:p>
          <w:p>
            <w:pPr>
              <w:spacing w:before="120" w:beforeLines="50" w:after="120" w:afterLines="50"/>
              <w:rPr>
                <w:b/>
                <w:sz w:val="22"/>
                <w:szCs w:val="22"/>
                <w:highlight w:val="none"/>
              </w:rPr>
            </w:pPr>
            <w:r>
              <w:rPr>
                <w:b/>
                <w:sz w:val="22"/>
                <w:szCs w:val="22"/>
                <w:highlight w:val="none"/>
              </w:rPr>
              <w:t>2．新建流程</w:t>
            </w:r>
          </w:p>
          <w:p>
            <w:pPr>
              <w:spacing w:before="120" w:beforeLines="50" w:after="120" w:afterLines="50"/>
              <w:rPr>
                <w:sz w:val="22"/>
                <w:szCs w:val="22"/>
                <w:highlight w:val="none"/>
              </w:rPr>
            </w:pPr>
            <w:r>
              <w:rPr>
                <w:sz w:val="22"/>
                <w:szCs w:val="22"/>
                <w:highlight w:val="none"/>
              </w:rPr>
              <w:t>1）新建流程清单（共计50条）</w:t>
            </w:r>
          </w:p>
          <w:tbl>
            <w:tblPr>
              <w:tblStyle w:val="3"/>
              <w:tblW w:w="6959" w:type="dxa"/>
              <w:tblInd w:w="95" w:type="dxa"/>
              <w:tblLayout w:type="fixed"/>
              <w:tblCellMar>
                <w:top w:w="0" w:type="dxa"/>
                <w:left w:w="108" w:type="dxa"/>
                <w:bottom w:w="0" w:type="dxa"/>
                <w:right w:w="108" w:type="dxa"/>
              </w:tblCellMar>
            </w:tblPr>
            <w:tblGrid>
              <w:gridCol w:w="3132"/>
              <w:gridCol w:w="3827"/>
            </w:tblGrid>
            <w:tr>
              <w:tblPrEx>
                <w:tblLayout w:type="fixed"/>
                <w:tblCellMar>
                  <w:top w:w="0" w:type="dxa"/>
                  <w:left w:w="108" w:type="dxa"/>
                  <w:bottom w:w="0" w:type="dxa"/>
                  <w:right w:w="108" w:type="dxa"/>
                </w:tblCellMar>
              </w:tblPrEx>
              <w:trPr>
                <w:trHeight w:val="360" w:hRule="atLeast"/>
              </w:trPr>
              <w:tc>
                <w:tcPr>
                  <w:tcW w:w="3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sz w:val="22"/>
                      <w:szCs w:val="22"/>
                      <w:highlight w:val="none"/>
                    </w:rPr>
                  </w:pPr>
                  <w:r>
                    <w:rPr>
                      <w:rFonts w:ascii="宋体" w:hAnsi="宋体" w:cs="宋体"/>
                      <w:b/>
                      <w:bCs/>
                      <w:color w:val="000000"/>
                      <w:sz w:val="22"/>
                      <w:szCs w:val="22"/>
                      <w:highlight w:val="none"/>
                    </w:rPr>
                    <w:t>创建部门</w:t>
                  </w:r>
                </w:p>
              </w:tc>
              <w:tc>
                <w:tcPr>
                  <w:tcW w:w="382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sz w:val="22"/>
                      <w:szCs w:val="22"/>
                      <w:highlight w:val="none"/>
                    </w:rPr>
                  </w:pPr>
                  <w:r>
                    <w:rPr>
                      <w:rFonts w:ascii="宋体" w:hAnsi="宋体" w:cs="宋体"/>
                      <w:b/>
                      <w:bCs/>
                      <w:color w:val="000000"/>
                      <w:sz w:val="22"/>
                      <w:szCs w:val="22"/>
                      <w:highlight w:val="none"/>
                    </w:rPr>
                    <w:t>流程名称</w:t>
                  </w:r>
                </w:p>
              </w:tc>
            </w:tr>
            <w:tr>
              <w:tblPrEx>
                <w:tblLayout w:type="fixed"/>
                <w:tblCellMar>
                  <w:top w:w="0" w:type="dxa"/>
                  <w:left w:w="108" w:type="dxa"/>
                  <w:bottom w:w="0" w:type="dxa"/>
                  <w:right w:w="108" w:type="dxa"/>
                </w:tblCellMar>
              </w:tblPrEx>
              <w:trPr>
                <w:trHeight w:val="360" w:hRule="atLeast"/>
              </w:trPr>
              <w:tc>
                <w:tcPr>
                  <w:tcW w:w="313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组织部</w:t>
                  </w: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教职工暑期出国</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登记备案人员临时领取证件审批</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中层干部外出审批</w:t>
                  </w:r>
                </w:p>
              </w:tc>
            </w:tr>
            <w:tr>
              <w:tblPrEx>
                <w:tblLayout w:type="fixed"/>
                <w:tblCellMar>
                  <w:top w:w="0" w:type="dxa"/>
                  <w:left w:w="108" w:type="dxa"/>
                  <w:bottom w:w="0" w:type="dxa"/>
                  <w:right w:w="108" w:type="dxa"/>
                </w:tblCellMar>
              </w:tblPrEx>
              <w:trPr>
                <w:trHeight w:val="360" w:hRule="atLeast"/>
              </w:trPr>
              <w:tc>
                <w:tcPr>
                  <w:tcW w:w="313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工会</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工会会员登记表</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教职工家庭困难补助申请</w:t>
                  </w:r>
                </w:p>
              </w:tc>
            </w:tr>
            <w:tr>
              <w:tblPrEx>
                <w:tblLayout w:type="fixed"/>
                <w:tblCellMar>
                  <w:top w:w="0" w:type="dxa"/>
                  <w:left w:w="108" w:type="dxa"/>
                  <w:bottom w:w="0" w:type="dxa"/>
                  <w:right w:w="108" w:type="dxa"/>
                </w:tblCellMar>
              </w:tblPrEx>
              <w:trPr>
                <w:trHeight w:val="360" w:hRule="atLeast"/>
              </w:trPr>
              <w:tc>
                <w:tcPr>
                  <w:tcW w:w="313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学生处、团委</w:t>
                  </w: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学生公寓检查销假申请</w:t>
                  </w:r>
                </w:p>
              </w:tc>
            </w:tr>
            <w:tr>
              <w:tblPrEx>
                <w:tblLayout w:type="fixed"/>
                <w:tblCellMar>
                  <w:top w:w="0" w:type="dxa"/>
                  <w:left w:w="108" w:type="dxa"/>
                  <w:bottom w:w="0" w:type="dxa"/>
                  <w:right w:w="108" w:type="dxa"/>
                </w:tblCellMar>
              </w:tblPrEx>
              <w:trPr>
                <w:trHeight w:val="360" w:hRule="atLeast"/>
              </w:trPr>
              <w:tc>
                <w:tcPr>
                  <w:tcW w:w="313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科技开发处</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sz w:val="22"/>
                      <w:szCs w:val="22"/>
                      <w:highlight w:val="none"/>
                    </w:rPr>
                  </w:pPr>
                  <w:r>
                    <w:rPr>
                      <w:rFonts w:ascii="宋体" w:hAnsi="宋体" w:cs="宋体"/>
                      <w:sz w:val="22"/>
                      <w:szCs w:val="22"/>
                      <w:highlight w:val="none"/>
                    </w:rPr>
                    <w:t xml:space="preserve">横向课题合同审批流程 </w:t>
                  </w:r>
                </w:p>
              </w:tc>
            </w:tr>
            <w:tr>
              <w:tblPrEx>
                <w:tblLayout w:type="fixed"/>
                <w:tblCellMar>
                  <w:top w:w="0" w:type="dxa"/>
                  <w:left w:w="108" w:type="dxa"/>
                  <w:bottom w:w="0" w:type="dxa"/>
                  <w:right w:w="108" w:type="dxa"/>
                </w:tblCellMar>
              </w:tblPrEx>
              <w:trPr>
                <w:trHeight w:val="360" w:hRule="atLeast"/>
              </w:trPr>
              <w:tc>
                <w:tcPr>
                  <w:tcW w:w="313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人事处</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教职工进修申请</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下企业锻炼申请（含访工、兼职）</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教职工校内流动申请</w:t>
                  </w:r>
                </w:p>
              </w:tc>
            </w:tr>
            <w:tr>
              <w:tblPrEx>
                <w:tblLayout w:type="fixed"/>
                <w:tblCellMar>
                  <w:top w:w="0" w:type="dxa"/>
                  <w:left w:w="108" w:type="dxa"/>
                  <w:bottom w:w="0" w:type="dxa"/>
                  <w:right w:w="108" w:type="dxa"/>
                </w:tblCellMar>
              </w:tblPrEx>
              <w:trPr>
                <w:trHeight w:val="360" w:hRule="atLeast"/>
              </w:trPr>
              <w:tc>
                <w:tcPr>
                  <w:tcW w:w="313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保卫处</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消防器材申领</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户口撤销申请</w:t>
                  </w:r>
                </w:p>
              </w:tc>
            </w:tr>
            <w:tr>
              <w:tblPrEx>
                <w:tblLayout w:type="fixed"/>
                <w:tblCellMar>
                  <w:top w:w="0" w:type="dxa"/>
                  <w:left w:w="108" w:type="dxa"/>
                  <w:bottom w:w="0" w:type="dxa"/>
                  <w:right w:w="108" w:type="dxa"/>
                </w:tblCellMar>
              </w:tblPrEx>
              <w:trPr>
                <w:trHeight w:val="360" w:hRule="atLeast"/>
              </w:trPr>
              <w:tc>
                <w:tcPr>
                  <w:tcW w:w="313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计财处</w:t>
                  </w: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教职工出差审批</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报销前置审批1</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报销前置审批2</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教职工校园卡提现业务</w:t>
                  </w:r>
                </w:p>
              </w:tc>
            </w:tr>
            <w:tr>
              <w:tblPrEx>
                <w:tblLayout w:type="fixed"/>
                <w:tblCellMar>
                  <w:top w:w="0" w:type="dxa"/>
                  <w:left w:w="108" w:type="dxa"/>
                  <w:bottom w:w="0" w:type="dxa"/>
                  <w:right w:w="108" w:type="dxa"/>
                </w:tblCellMar>
              </w:tblPrEx>
              <w:trPr>
                <w:trHeight w:val="360" w:hRule="atLeast"/>
              </w:trPr>
              <w:tc>
                <w:tcPr>
                  <w:tcW w:w="313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现代教育技术中心</w:t>
                  </w: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信息化项目立项申请</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信息化项目申购</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短信通知发送服务</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公共机房软件临时增加或更新申请</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网站及信息系统登记</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网站及信息系统巡检记录</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网站及信息系统安全整改报告</w:t>
                  </w:r>
                </w:p>
              </w:tc>
            </w:tr>
            <w:tr>
              <w:tblPrEx>
                <w:tblLayout w:type="fixed"/>
                <w:tblCellMar>
                  <w:top w:w="0" w:type="dxa"/>
                  <w:left w:w="108" w:type="dxa"/>
                  <w:bottom w:w="0" w:type="dxa"/>
                  <w:right w:w="108" w:type="dxa"/>
                </w:tblCellMar>
              </w:tblPrEx>
              <w:trPr>
                <w:trHeight w:val="1425"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合作单位人员临时网络账号申请</w:t>
                  </w:r>
                </w:p>
              </w:tc>
            </w:tr>
            <w:tr>
              <w:tblPrEx>
                <w:tblLayout w:type="fixed"/>
                <w:tblCellMar>
                  <w:top w:w="0" w:type="dxa"/>
                  <w:left w:w="108" w:type="dxa"/>
                  <w:bottom w:w="0" w:type="dxa"/>
                  <w:right w:w="108" w:type="dxa"/>
                </w:tblCellMar>
              </w:tblPrEx>
              <w:trPr>
                <w:trHeight w:val="360" w:hRule="atLeast"/>
              </w:trPr>
              <w:tc>
                <w:tcPr>
                  <w:tcW w:w="313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国际合作交流处</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教职工因公出国（境）任务申报</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外籍文教专家申请</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校内国际化相关活动</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外事接待活动申请</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带学生出国（境）参加活动或讲座</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国（境）外专家学者来校举办宣讲会、学术讲座</w:t>
                  </w:r>
                </w:p>
              </w:tc>
            </w:tr>
            <w:tr>
              <w:tblPrEx>
                <w:tblLayout w:type="fixed"/>
                <w:tblCellMar>
                  <w:top w:w="0" w:type="dxa"/>
                  <w:left w:w="108" w:type="dxa"/>
                  <w:bottom w:w="0" w:type="dxa"/>
                  <w:right w:w="108" w:type="dxa"/>
                </w:tblCellMar>
              </w:tblPrEx>
              <w:trPr>
                <w:trHeight w:val="360" w:hRule="atLeast"/>
              </w:trPr>
              <w:tc>
                <w:tcPr>
                  <w:tcW w:w="313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后勤基建处</w:t>
                  </w:r>
                  <w:r>
                    <w:rPr>
                      <w:rFonts w:ascii="宋体" w:hAnsi="宋体" w:cs="宋体"/>
                      <w:color w:val="000000"/>
                      <w:sz w:val="22"/>
                      <w:szCs w:val="22"/>
                      <w:highlight w:val="none"/>
                    </w:rPr>
                    <w:br w:type="textWrapping"/>
                  </w:r>
                  <w:r>
                    <w:rPr>
                      <w:rFonts w:ascii="宋体" w:hAnsi="宋体" w:cs="宋体"/>
                      <w:color w:val="000000"/>
                      <w:sz w:val="22"/>
                      <w:szCs w:val="22"/>
                      <w:highlight w:val="none"/>
                    </w:rPr>
                    <w:t>（四方公司）</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后勤采购（招标）审批表</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sz w:val="22"/>
                      <w:szCs w:val="22"/>
                      <w:highlight w:val="none"/>
                    </w:rPr>
                  </w:pPr>
                  <w:r>
                    <w:rPr>
                      <w:rFonts w:ascii="宋体" w:hAnsi="宋体" w:cs="宋体"/>
                      <w:sz w:val="22"/>
                      <w:szCs w:val="22"/>
                      <w:highlight w:val="none"/>
                    </w:rPr>
                    <w:t>锁芯更换/钥匙配置申请</w:t>
                  </w:r>
                </w:p>
              </w:tc>
            </w:tr>
            <w:tr>
              <w:tblPrEx>
                <w:tblLayout w:type="fixed"/>
                <w:tblCellMar>
                  <w:top w:w="0" w:type="dxa"/>
                  <w:left w:w="108" w:type="dxa"/>
                  <w:bottom w:w="0" w:type="dxa"/>
                  <w:right w:w="108" w:type="dxa"/>
                </w:tblCellMar>
              </w:tblPrEx>
              <w:trPr>
                <w:trHeight w:val="360" w:hRule="atLeast"/>
              </w:trPr>
              <w:tc>
                <w:tcPr>
                  <w:tcW w:w="313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瑞安学院</w:t>
                  </w: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教职工公出</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教职工加班</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教职工请假</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教职工销假</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教职工补贴审批</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车辆使用申请</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会场使用申请</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聘用人员招聘申请</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教职工培训审批</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人员移交查对</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公务出差审批</w:t>
                  </w:r>
                </w:p>
              </w:tc>
            </w:tr>
            <w:tr>
              <w:tblPrEx>
                <w:tblLayout w:type="fixed"/>
                <w:tblCellMar>
                  <w:top w:w="0" w:type="dxa"/>
                  <w:left w:w="108" w:type="dxa"/>
                  <w:bottom w:w="0" w:type="dxa"/>
                  <w:right w:w="108" w:type="dxa"/>
                </w:tblCellMar>
              </w:tblPrEx>
              <w:trPr>
                <w:trHeight w:val="360" w:hRule="atLeast"/>
              </w:trPr>
              <w:tc>
                <w:tcPr>
                  <w:tcW w:w="313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sz w:val="22"/>
                      <w:szCs w:val="22"/>
                      <w:highlight w:val="none"/>
                    </w:rPr>
                  </w:pPr>
                  <w:r>
                    <w:rPr>
                      <w:rFonts w:ascii="宋体" w:hAnsi="宋体" w:cs="宋体"/>
                      <w:color w:val="000000"/>
                      <w:sz w:val="22"/>
                      <w:szCs w:val="22"/>
                      <w:highlight w:val="none"/>
                    </w:rPr>
                    <w:t>　</w:t>
                  </w:r>
                  <w:r>
                    <w:rPr>
                      <w:rFonts w:hint="eastAsia" w:ascii="宋体" w:hAnsi="宋体" w:cs="宋体"/>
                      <w:color w:val="000000"/>
                      <w:sz w:val="22"/>
                      <w:szCs w:val="22"/>
                      <w:highlight w:val="none"/>
                    </w:rPr>
                    <w:t>待定</w:t>
                  </w:r>
                </w:p>
              </w:tc>
              <w:tc>
                <w:tcPr>
                  <w:tcW w:w="3827"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待定流程1</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待定流程2</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待定流程3</w:t>
                  </w:r>
                </w:p>
              </w:tc>
            </w:tr>
            <w:tr>
              <w:tblPrEx>
                <w:tblLayout w:type="fixed"/>
                <w:tblCellMar>
                  <w:top w:w="0" w:type="dxa"/>
                  <w:left w:w="108" w:type="dxa"/>
                  <w:bottom w:w="0" w:type="dxa"/>
                  <w:right w:w="108" w:type="dxa"/>
                </w:tblCellMar>
              </w:tblPrEx>
              <w:trPr>
                <w:trHeight w:val="360" w:hRule="atLeast"/>
              </w:trPr>
              <w:tc>
                <w:tcPr>
                  <w:tcW w:w="31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sz w:val="22"/>
                      <w:szCs w:val="22"/>
                      <w:highlight w:val="none"/>
                    </w:rPr>
                  </w:pPr>
                </w:p>
              </w:tc>
              <w:tc>
                <w:tcPr>
                  <w:tcW w:w="3827"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sz w:val="22"/>
                      <w:szCs w:val="22"/>
                      <w:highlight w:val="none"/>
                    </w:rPr>
                  </w:pPr>
                  <w:r>
                    <w:rPr>
                      <w:rFonts w:ascii="宋体" w:hAnsi="宋体" w:cs="宋体"/>
                      <w:color w:val="000000"/>
                      <w:sz w:val="22"/>
                      <w:szCs w:val="22"/>
                      <w:highlight w:val="none"/>
                    </w:rPr>
                    <w:t>待定流程4</w:t>
                  </w:r>
                </w:p>
              </w:tc>
            </w:tr>
          </w:tbl>
          <w:p>
            <w:pPr>
              <w:spacing w:line="360" w:lineRule="auto"/>
              <w:rPr>
                <w:rFonts w:ascii="Arial" w:hAnsi="Arial" w:cs="Arial"/>
                <w:color w:val="000000"/>
                <w:sz w:val="22"/>
                <w:szCs w:val="22"/>
                <w:highlight w:val="none"/>
              </w:rPr>
            </w:pPr>
            <w:r>
              <w:rPr>
                <w:rFonts w:ascii="Arial" w:hAnsi="Arial" w:cs="Arial"/>
                <w:color w:val="000000"/>
                <w:sz w:val="22"/>
                <w:szCs w:val="22"/>
                <w:highlight w:val="none"/>
              </w:rPr>
              <w:t>2）上述流程的平均复杂程度与现有流程大致相当。供应商须上门向流程创建部门了解上述流程的创建需求，并按要求创建</w:t>
            </w:r>
            <w:r>
              <w:rPr>
                <w:rFonts w:hint="eastAsia" w:ascii="Arial" w:hAnsi="Arial" w:cs="Arial"/>
                <w:color w:val="000000"/>
                <w:sz w:val="22"/>
                <w:szCs w:val="22"/>
                <w:highlight w:val="none"/>
              </w:rPr>
              <w:t>。</w:t>
            </w:r>
          </w:p>
          <w:p>
            <w:pPr>
              <w:rPr>
                <w:b/>
                <w:sz w:val="22"/>
                <w:szCs w:val="22"/>
                <w:highlight w:val="none"/>
              </w:rPr>
            </w:pPr>
            <w:r>
              <w:rPr>
                <w:b/>
                <w:sz w:val="22"/>
                <w:szCs w:val="22"/>
                <w:highlight w:val="none"/>
              </w:rPr>
              <w:t>三．系统对接要求：</w:t>
            </w:r>
          </w:p>
          <w:p>
            <w:pPr>
              <w:spacing w:before="120" w:beforeLines="50" w:after="120" w:afterLines="50"/>
              <w:rPr>
                <w:sz w:val="22"/>
                <w:szCs w:val="22"/>
                <w:highlight w:val="none"/>
              </w:rPr>
            </w:pPr>
            <w:r>
              <w:rPr>
                <w:sz w:val="22"/>
                <w:szCs w:val="22"/>
                <w:highlight w:val="none"/>
              </w:rPr>
              <w:t>1、加班、公出、请假流程与考勤系统的考勤记录进行对接，自动统计教职工出勤情况；</w:t>
            </w:r>
          </w:p>
          <w:p>
            <w:pPr>
              <w:spacing w:before="120" w:beforeLines="50" w:after="120" w:afterLines="50"/>
              <w:rPr>
                <w:sz w:val="22"/>
                <w:szCs w:val="22"/>
                <w:highlight w:val="none"/>
              </w:rPr>
            </w:pPr>
            <w:r>
              <w:rPr>
                <w:sz w:val="22"/>
                <w:szCs w:val="22"/>
                <w:highlight w:val="none"/>
              </w:rPr>
              <w:t>2、办公用品与餐券领用流程中，所选物品的价格和单位存在于外部数据库，流程能根据所选物品带出单价、单位，并且部门账号可以对价格进行修改；</w:t>
            </w:r>
          </w:p>
          <w:p>
            <w:pPr>
              <w:spacing w:before="120" w:beforeLines="50" w:after="120" w:afterLines="50"/>
              <w:rPr>
                <w:sz w:val="22"/>
                <w:szCs w:val="22"/>
                <w:highlight w:val="none"/>
              </w:rPr>
            </w:pPr>
            <w:r>
              <w:rPr>
                <w:sz w:val="22"/>
                <w:szCs w:val="22"/>
                <w:highlight w:val="none"/>
              </w:rPr>
              <w:t>3、OA系统人员信息与新人事系统进行同步（采用Web service方式写入OA系统）；</w:t>
            </w:r>
          </w:p>
          <w:p>
            <w:pPr>
              <w:spacing w:before="120" w:beforeLines="50" w:after="120" w:afterLines="50"/>
              <w:rPr>
                <w:sz w:val="22"/>
                <w:szCs w:val="22"/>
                <w:highlight w:val="none"/>
              </w:rPr>
            </w:pPr>
            <w:r>
              <w:rPr>
                <w:sz w:val="22"/>
                <w:szCs w:val="22"/>
                <w:highlight w:val="none"/>
              </w:rPr>
              <w:t>4、教职工调动、培训学时等流程需提供相应信息给新人事系统；</w:t>
            </w:r>
          </w:p>
          <w:p>
            <w:pPr>
              <w:spacing w:before="120" w:beforeLines="50" w:after="120" w:afterLines="50"/>
              <w:rPr>
                <w:sz w:val="22"/>
                <w:szCs w:val="22"/>
                <w:highlight w:val="none"/>
              </w:rPr>
            </w:pPr>
            <w:r>
              <w:rPr>
                <w:sz w:val="22"/>
                <w:szCs w:val="22"/>
                <w:highlight w:val="none"/>
              </w:rPr>
              <w:t>5、横向课题合同审批、专利转让、专利申请等流程需要提供数据给科研系统；</w:t>
            </w:r>
          </w:p>
          <w:p>
            <w:pPr>
              <w:spacing w:before="120" w:beforeLines="50" w:after="120" w:afterLines="50"/>
              <w:rPr>
                <w:sz w:val="22"/>
                <w:szCs w:val="22"/>
                <w:highlight w:val="none"/>
              </w:rPr>
            </w:pPr>
            <w:r>
              <w:rPr>
                <w:sz w:val="22"/>
                <w:szCs w:val="22"/>
                <w:highlight w:val="none"/>
              </w:rPr>
              <w:t>6、创建有关财务支出的前置审批流程，并把流程的结果推送给财务系统；</w:t>
            </w:r>
          </w:p>
          <w:p>
            <w:pPr>
              <w:spacing w:before="120" w:beforeLines="50" w:after="120" w:afterLines="50"/>
              <w:rPr>
                <w:sz w:val="22"/>
                <w:szCs w:val="22"/>
                <w:highlight w:val="none"/>
              </w:rPr>
            </w:pPr>
            <w:r>
              <w:rPr>
                <w:sz w:val="22"/>
                <w:szCs w:val="22"/>
                <w:highlight w:val="none"/>
              </w:rPr>
              <w:t>7、完善OA流程与资产管理系统的对接；</w:t>
            </w:r>
          </w:p>
          <w:p>
            <w:pPr>
              <w:spacing w:before="120" w:beforeLines="50" w:after="120" w:afterLines="50"/>
              <w:rPr>
                <w:sz w:val="22"/>
                <w:szCs w:val="22"/>
                <w:highlight w:val="none"/>
              </w:rPr>
            </w:pPr>
            <w:r>
              <w:rPr>
                <w:sz w:val="22"/>
                <w:szCs w:val="22"/>
                <w:highlight w:val="none"/>
              </w:rPr>
              <w:t>8、流程创建者输入表单数据时，关联数据必须能自动从学院数据中心读取。例如：表单中输入姓名时，能自动带出性别、职务、手机、身份证号、职称等信息；</w:t>
            </w:r>
          </w:p>
          <w:p>
            <w:pPr>
              <w:spacing w:before="120" w:beforeLines="50" w:after="120" w:afterLines="50"/>
              <w:rPr>
                <w:sz w:val="22"/>
                <w:szCs w:val="22"/>
                <w:highlight w:val="none"/>
              </w:rPr>
            </w:pPr>
            <w:r>
              <w:rPr>
                <w:sz w:val="22"/>
                <w:szCs w:val="22"/>
                <w:highlight w:val="none"/>
              </w:rPr>
              <w:t>9、上述对接功能如果需要支付第三方对接费用的，由供应商直接向第三方支付；</w:t>
            </w:r>
          </w:p>
          <w:p>
            <w:pPr>
              <w:spacing w:before="120" w:beforeLines="50" w:after="120" w:afterLines="50"/>
              <w:rPr>
                <w:sz w:val="22"/>
                <w:szCs w:val="22"/>
                <w:highlight w:val="none"/>
              </w:rPr>
            </w:pPr>
            <w:r>
              <w:rPr>
                <w:rFonts w:hint="eastAsia"/>
                <w:sz w:val="22"/>
                <w:szCs w:val="22"/>
                <w:highlight w:val="none"/>
              </w:rPr>
              <w:t>10、</w:t>
            </w:r>
            <w:r>
              <w:rPr>
                <w:sz w:val="22"/>
                <w:szCs w:val="22"/>
                <w:highlight w:val="none"/>
              </w:rPr>
              <w:t>为财务系统、科研系统、人事系统、资产管理系统提供相关流程的结果数据；</w:t>
            </w:r>
          </w:p>
          <w:p>
            <w:pPr>
              <w:spacing w:before="120" w:beforeLines="50" w:after="120" w:afterLines="50"/>
              <w:rPr>
                <w:sz w:val="22"/>
                <w:szCs w:val="22"/>
                <w:highlight w:val="none"/>
              </w:rPr>
            </w:pPr>
            <w:r>
              <w:rPr>
                <w:sz w:val="22"/>
                <w:szCs w:val="22"/>
                <w:highlight w:val="none"/>
              </w:rPr>
              <w:t>1</w:t>
            </w:r>
            <w:r>
              <w:rPr>
                <w:rFonts w:hint="eastAsia"/>
                <w:sz w:val="22"/>
                <w:szCs w:val="22"/>
                <w:highlight w:val="none"/>
              </w:rPr>
              <w:t>1</w:t>
            </w:r>
            <w:r>
              <w:rPr>
                <w:sz w:val="22"/>
                <w:szCs w:val="22"/>
                <w:highlight w:val="none"/>
              </w:rPr>
              <w:t>、具体对接要求供应商需与业务系统的管理部门进行协商。</w:t>
            </w:r>
          </w:p>
          <w:p>
            <w:pPr>
              <w:rPr>
                <w:b/>
                <w:sz w:val="22"/>
                <w:szCs w:val="22"/>
                <w:highlight w:val="none"/>
              </w:rPr>
            </w:pPr>
            <w:r>
              <w:rPr>
                <w:b/>
                <w:sz w:val="22"/>
                <w:szCs w:val="22"/>
                <w:highlight w:val="none"/>
              </w:rPr>
              <w:t>四．开发独立的流程报表系统</w:t>
            </w:r>
          </w:p>
          <w:p>
            <w:pPr>
              <w:spacing w:before="120" w:beforeLines="50" w:after="120" w:afterLines="50"/>
              <w:rPr>
                <w:sz w:val="22"/>
                <w:szCs w:val="22"/>
                <w:highlight w:val="none"/>
              </w:rPr>
            </w:pPr>
            <w:r>
              <w:rPr>
                <w:sz w:val="22"/>
                <w:szCs w:val="22"/>
                <w:highlight w:val="none"/>
              </w:rPr>
              <w:t>1．报表的数据源来自OA系统的流程数据，同时要根据业务分析流程数据之间的关联；</w:t>
            </w:r>
          </w:p>
          <w:p>
            <w:pPr>
              <w:spacing w:before="120" w:beforeLines="50" w:after="120" w:afterLines="50"/>
              <w:rPr>
                <w:sz w:val="22"/>
                <w:szCs w:val="22"/>
                <w:highlight w:val="none"/>
              </w:rPr>
            </w:pPr>
            <w:r>
              <w:rPr>
                <w:sz w:val="22"/>
                <w:szCs w:val="22"/>
                <w:highlight w:val="none"/>
              </w:rPr>
              <w:t>2．能够通过便捷的操作支持传统的报表功能，例如按层级分类小计、总计、排序等；</w:t>
            </w:r>
          </w:p>
          <w:p>
            <w:pPr>
              <w:spacing w:before="120" w:beforeLines="50" w:after="120" w:afterLines="50"/>
              <w:rPr>
                <w:sz w:val="22"/>
                <w:szCs w:val="22"/>
                <w:highlight w:val="none"/>
              </w:rPr>
            </w:pPr>
            <w:r>
              <w:rPr>
                <w:rFonts w:hint="eastAsia"/>
                <w:sz w:val="22"/>
                <w:szCs w:val="22"/>
                <w:highlight w:val="none"/>
              </w:rPr>
              <w:t>3．</w:t>
            </w:r>
            <w:r>
              <w:rPr>
                <w:sz w:val="22"/>
                <w:szCs w:val="22"/>
                <w:highlight w:val="none"/>
              </w:rPr>
              <w:t>具备方便的查询条件设置功能，支持多种查询形式；</w:t>
            </w:r>
          </w:p>
          <w:p>
            <w:pPr>
              <w:spacing w:before="120" w:beforeLines="50" w:after="120" w:afterLines="50"/>
              <w:rPr>
                <w:sz w:val="22"/>
                <w:szCs w:val="22"/>
                <w:highlight w:val="none"/>
              </w:rPr>
            </w:pPr>
            <w:r>
              <w:rPr>
                <w:rFonts w:hint="eastAsia"/>
                <w:sz w:val="22"/>
                <w:szCs w:val="22"/>
                <w:highlight w:val="none"/>
              </w:rPr>
              <w:t>4</w:t>
            </w:r>
            <w:r>
              <w:rPr>
                <w:sz w:val="22"/>
                <w:szCs w:val="22"/>
                <w:highlight w:val="none"/>
              </w:rPr>
              <w:t>．能够根据需要支持柱状图、折线图、饼状图、仪表盘、地图等常规图像化展示；</w:t>
            </w:r>
          </w:p>
          <w:p>
            <w:pPr>
              <w:spacing w:before="120" w:beforeLines="50" w:after="120" w:afterLines="50"/>
              <w:rPr>
                <w:sz w:val="22"/>
                <w:szCs w:val="22"/>
                <w:highlight w:val="none"/>
              </w:rPr>
            </w:pPr>
            <w:r>
              <w:rPr>
                <w:rFonts w:hint="eastAsia"/>
                <w:sz w:val="22"/>
                <w:szCs w:val="22"/>
                <w:highlight w:val="none"/>
              </w:rPr>
              <w:t>5</w:t>
            </w:r>
            <w:r>
              <w:rPr>
                <w:sz w:val="22"/>
                <w:szCs w:val="22"/>
                <w:highlight w:val="none"/>
              </w:rPr>
              <w:t>．支持报表在移动端展示；</w:t>
            </w:r>
          </w:p>
          <w:p>
            <w:pPr>
              <w:spacing w:before="120" w:beforeLines="50" w:after="120" w:afterLines="50"/>
              <w:rPr>
                <w:sz w:val="22"/>
                <w:szCs w:val="22"/>
                <w:highlight w:val="none"/>
              </w:rPr>
            </w:pPr>
            <w:r>
              <w:rPr>
                <w:rFonts w:hint="eastAsia"/>
                <w:sz w:val="22"/>
                <w:szCs w:val="22"/>
                <w:highlight w:val="none"/>
              </w:rPr>
              <w:t>6</w:t>
            </w:r>
            <w:r>
              <w:rPr>
                <w:sz w:val="22"/>
                <w:szCs w:val="22"/>
                <w:highlight w:val="none"/>
              </w:rPr>
              <w:t>．报表系统的访问权限不另外设置，要求从OA系统中同步；</w:t>
            </w:r>
          </w:p>
          <w:p>
            <w:pPr>
              <w:spacing w:before="120" w:beforeLines="50" w:after="120" w:afterLines="50"/>
              <w:rPr>
                <w:rFonts w:hint="eastAsia"/>
                <w:sz w:val="22"/>
                <w:szCs w:val="22"/>
                <w:highlight w:val="none"/>
              </w:rPr>
            </w:pPr>
            <w:r>
              <w:rPr>
                <w:rFonts w:hint="eastAsia"/>
                <w:sz w:val="22"/>
                <w:szCs w:val="22"/>
                <w:highlight w:val="none"/>
              </w:rPr>
              <w:t>7</w:t>
            </w:r>
            <w:r>
              <w:rPr>
                <w:sz w:val="22"/>
                <w:szCs w:val="22"/>
                <w:highlight w:val="none"/>
              </w:rPr>
              <w:t>．报表系统必须支持统一身份认证，既可以从登录OA后切换过来，也可以独立登录。</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C672F6"/>
    <w:multiLevelType w:val="singleLevel"/>
    <w:tmpl w:val="E1C672F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9F3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lock Text"/>
    <w:basedOn w:val="1"/>
    <w:uiPriority w:val="0"/>
    <w:pPr>
      <w:adjustRightInd w:val="0"/>
      <w:spacing w:line="300" w:lineRule="auto"/>
      <w:ind w:left="958" w:rightChars="-120"/>
      <w:jc w:val="left"/>
    </w:pPr>
    <w:rPr>
      <w:rFonts w:ascii="宋体" w:hAnsi="宋体"/>
      <w:sz w:val="28"/>
    </w:rPr>
  </w:style>
  <w:style w:type="paragraph" w:customStyle="1" w:styleId="5">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me</dc:creator>
  <cp:lastModifiedBy>me</cp:lastModifiedBy>
  <dcterms:modified xsi:type="dcterms:W3CDTF">2019-08-08T03:15:51Z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