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采购需求</w:t>
      </w:r>
    </w:p>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一、采购内容及数量</w:t>
      </w:r>
    </w:p>
    <w:tbl>
      <w:tblPr>
        <w:tblStyle w:val="10"/>
        <w:tblW w:w="0" w:type="auto"/>
        <w:jc w:val="center"/>
        <w:tblLayout w:type="fixed"/>
        <w:tblCellMar>
          <w:top w:w="0" w:type="dxa"/>
          <w:left w:w="108" w:type="dxa"/>
          <w:bottom w:w="0" w:type="dxa"/>
          <w:right w:w="108" w:type="dxa"/>
        </w:tblCellMar>
      </w:tblPr>
      <w:tblGrid>
        <w:gridCol w:w="1038"/>
        <w:gridCol w:w="3059"/>
        <w:gridCol w:w="1701"/>
        <w:gridCol w:w="1403"/>
        <w:gridCol w:w="2125"/>
      </w:tblGrid>
      <w:tr>
        <w:tblPrEx>
          <w:tblCellMar>
            <w:top w:w="0" w:type="dxa"/>
            <w:left w:w="108" w:type="dxa"/>
            <w:bottom w:w="0" w:type="dxa"/>
            <w:right w:w="108" w:type="dxa"/>
          </w:tblCellMar>
        </w:tblPrEx>
        <w:trPr>
          <w:trHeight w:val="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40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212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709"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蒋家桥校区电教三LED屏</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bCs/>
                <w:color w:val="auto"/>
                <w:kern w:val="0"/>
                <w:sz w:val="22"/>
                <w:highlight w:val="none"/>
              </w:rPr>
              <w:t xml:space="preserve">1批 </w:t>
            </w:r>
          </w:p>
        </w:tc>
        <w:tc>
          <w:tcPr>
            <w:tcW w:w="140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134000.00</w:t>
            </w:r>
          </w:p>
        </w:tc>
        <w:tc>
          <w:tcPr>
            <w:tcW w:w="212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 w:val="22"/>
                <w:szCs w:val="22"/>
                <w:highlight w:val="none"/>
              </w:rPr>
            </w:pPr>
            <w:r>
              <w:rPr>
                <w:rFonts w:ascii="宋体" w:hAnsi="宋体" w:cs="宋体"/>
                <w:color w:val="auto"/>
                <w:kern w:val="0"/>
                <w:sz w:val="22"/>
                <w:szCs w:val="22"/>
                <w:highlight w:val="none"/>
                <w:u w:val="single"/>
              </w:rPr>
              <w:t>▲</w:t>
            </w:r>
            <w:r>
              <w:rPr>
                <w:rFonts w:hint="eastAsia" w:ascii="宋体" w:hAnsi="宋体" w:cs="宋体"/>
                <w:color w:val="auto"/>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本合同签订后卖方向买方支付合同价款的5%作为履约保证金；卖方完成全部供货及安装、调试、培训并通过买方验收，买方入库报销后15个工作日内，买方向卖方支付100%合同价款（卖方必须先开具合同金额100%的正式</w:t>
            </w:r>
            <w:r>
              <w:rPr>
                <w:rFonts w:hint="eastAsia" w:ascii="宋体" w:hAnsi="宋体" w:cs="宋体"/>
                <w:color w:val="auto"/>
                <w:sz w:val="22"/>
                <w:szCs w:val="22"/>
                <w:highlight w:val="none"/>
                <w:u w:val="single"/>
                <w:lang w:eastAsia="zh-CN"/>
              </w:rPr>
              <w:t>增值税专用</w:t>
            </w:r>
            <w:r>
              <w:rPr>
                <w:rFonts w:hint="eastAsia" w:ascii="宋体" w:hAnsi="宋体" w:cs="宋体"/>
                <w:color w:val="auto"/>
                <w:sz w:val="22"/>
                <w:szCs w:val="22"/>
                <w:highlight w:val="none"/>
                <w:u w:val="single"/>
              </w:rPr>
              <w:t>发票）；履约保证金自验收合格之日，一年后无质量问题，资产管理处收到使用部门填写的验收单后7个工作日内</w:t>
            </w:r>
            <w:r>
              <w:rPr>
                <w:rFonts w:hint="eastAsia" w:ascii="宋体" w:hAnsi="宋体" w:cs="宋体"/>
                <w:color w:val="auto"/>
                <w:sz w:val="22"/>
                <w:szCs w:val="22"/>
                <w:highlight w:val="none"/>
                <w:u w:val="single"/>
                <w:lang w:eastAsia="zh-CN"/>
              </w:rPr>
              <w:t>无息退还</w:t>
            </w:r>
            <w:r>
              <w:rPr>
                <w:rFonts w:hint="eastAsia" w:ascii="宋体" w:hAnsi="宋体" w:cs="宋体"/>
                <w:color w:val="auto"/>
                <w:sz w:val="22"/>
                <w:szCs w:val="22"/>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default" w:ascii="宋体" w:hAnsi="宋体" w:eastAsia="宋体" w:cs="宋体"/>
                <w:bCs/>
                <w:color w:val="auto"/>
                <w:kern w:val="0"/>
                <w:sz w:val="22"/>
                <w:highlight w:val="none"/>
                <w:lang w:val="en-US" w:eastAsia="zh-CN"/>
              </w:rPr>
            </w:pPr>
            <w:r>
              <w:rPr>
                <w:rFonts w:hint="eastAsia" w:ascii="宋体" w:hAnsi="宋体" w:cs="宋体"/>
                <w:bCs/>
                <w:color w:val="auto"/>
                <w:kern w:val="0"/>
                <w:sz w:val="22"/>
                <w:highlight w:val="none"/>
                <w:lang w:val="en-US" w:eastAsia="zh-CN"/>
              </w:rPr>
              <w:t>接到通知后3个工作日内送至指定地点。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auto"/>
                <w:kern w:val="0"/>
                <w:sz w:val="22"/>
                <w:highlight w:val="none"/>
              </w:rPr>
            </w:pPr>
            <w:r>
              <w:rPr>
                <w:rFonts w:hint="eastAsia" w:ascii="宋体" w:hAnsi="宋体" w:cs="宋体"/>
                <w:color w:val="auto"/>
                <w:sz w:val="22"/>
                <w:szCs w:val="22"/>
                <w:highlight w:val="none"/>
              </w:rPr>
              <w:t>温州职业技术学院指定地点。</w:t>
            </w:r>
          </w:p>
        </w:tc>
      </w:tr>
    </w:tbl>
    <w:p>
      <w:pPr>
        <w:numPr>
          <w:ilvl w:val="0"/>
          <w:numId w:val="1"/>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tbl>
      <w:tblPr>
        <w:tblStyle w:val="10"/>
        <w:tblW w:w="9484" w:type="dxa"/>
        <w:tblInd w:w="0" w:type="dxa"/>
        <w:tblLayout w:type="fixed"/>
        <w:tblCellMar>
          <w:top w:w="0" w:type="dxa"/>
          <w:left w:w="0" w:type="dxa"/>
          <w:bottom w:w="0" w:type="dxa"/>
          <w:right w:w="0" w:type="dxa"/>
        </w:tblCellMar>
      </w:tblPr>
      <w:tblGrid>
        <w:gridCol w:w="495"/>
        <w:gridCol w:w="531"/>
        <w:gridCol w:w="661"/>
        <w:gridCol w:w="531"/>
        <w:gridCol w:w="7266"/>
      </w:tblGrid>
      <w:tr>
        <w:tblPrEx>
          <w:tblCellMar>
            <w:top w:w="0" w:type="dxa"/>
            <w:left w:w="0" w:type="dxa"/>
            <w:bottom w:w="0" w:type="dxa"/>
            <w:right w:w="0" w:type="dxa"/>
          </w:tblCellMar>
        </w:tblPrEx>
        <w:trPr>
          <w:trHeight w:val="27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名称</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单位</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数量</w:t>
            </w:r>
          </w:p>
        </w:tc>
        <w:tc>
          <w:tcPr>
            <w:tcW w:w="7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备注</w:t>
            </w:r>
          </w:p>
        </w:tc>
      </w:tr>
      <w:tr>
        <w:tblPrEx>
          <w:tblCellMar>
            <w:top w:w="0" w:type="dxa"/>
            <w:left w:w="0" w:type="dxa"/>
            <w:bottom w:w="0" w:type="dxa"/>
            <w:right w:w="0" w:type="dxa"/>
          </w:tblCellMar>
        </w:tblPrEx>
        <w:trPr>
          <w:trHeight w:val="9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室内全彩屏</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平方</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13.1</w:t>
            </w:r>
          </w:p>
        </w:tc>
        <w:tc>
          <w:tcPr>
            <w:tcW w:w="7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结构说明：像素点采用1红1蓝1绿三合一；安装方式：钢挂贴墙式安装</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2、室内全彩单元板显示效果更加清晰细腻；实现高刷新率、高灰阶及较高灯管利用率；无残影、防“毛毛虫” 、低功耗、低突波等.</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3、模组尺寸：320mm*160mm ，模组分辨率160点×80点；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4、驱动器件：采用动态行驱动芯片 ，具有支持亮度调节功能。</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5、工作电压：在4.5VDC能正常工作</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6、工作环境：能满足—20℃ ~ 50℃ 正常工作</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7、像素点间距：≤2mm ；最佳视角：水平≥140°，垂直≥130°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8、物理密度：≥250000点/㎡</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9、刷新频率：≥3840Hz；</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10、最大对比度：≥5300：1</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11、校正后白平衡亮度：≥500cd/m2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12、色度均匀性   ：≤0.0045，亮度均匀性   ：≥95% </w:t>
            </w:r>
          </w:p>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色温：3000K-18000K具有可调整性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14、灰度级数：大于或等于15bit  </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15、平均无故障时间：≥10000小时</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16、平整度：≤0.05mm；</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17、最大功耗：≤439W /㎡，平均功耗≤146.3W/㎡</w:t>
            </w:r>
            <w:r>
              <w:rPr>
                <w:rFonts w:hint="eastAsia" w:ascii="宋体" w:hAnsi="宋体" w:cs="宋体"/>
                <w:i w:val="0"/>
                <w:color w:val="000000"/>
                <w:kern w:val="0"/>
                <w:sz w:val="22"/>
                <w:szCs w:val="22"/>
                <w:highlight w:val="none"/>
                <w:u w:val="none"/>
                <w:lang w:val="en-US" w:eastAsia="zh-CN" w:bidi="ar"/>
              </w:rPr>
              <w:t>(</w:t>
            </w:r>
            <w:r>
              <w:rPr>
                <w:rFonts w:hint="eastAsia" w:ascii="宋体" w:hAnsi="宋体" w:eastAsia="宋体" w:cs="宋体"/>
                <w:color w:val="auto"/>
                <w:sz w:val="22"/>
                <w:szCs w:val="22"/>
                <w:highlight w:val="none"/>
                <w:lang w:val="en-US" w:eastAsia="zh-CN"/>
              </w:rPr>
              <w:t>峰值功耗：≤500</w:t>
            </w:r>
            <w:r>
              <w:rPr>
                <w:rFonts w:hint="eastAsia" w:ascii="宋体" w:hAnsi="宋体" w:eastAsia="宋体" w:cs="宋体"/>
                <w:color w:val="auto"/>
                <w:sz w:val="22"/>
                <w:szCs w:val="22"/>
                <w:highlight w:val="none"/>
              </w:rPr>
              <w:t>W/</w:t>
            </w:r>
            <w:r>
              <w:rPr>
                <w:rFonts w:hint="eastAsia" w:ascii="宋体" w:hAnsi="宋体" w:eastAsia="宋体" w:cs="宋体"/>
                <w:color w:val="auto"/>
                <w:sz w:val="22"/>
                <w:szCs w:val="22"/>
                <w:highlight w:val="none"/>
                <w:lang w:eastAsia="zh-CN"/>
              </w:rPr>
              <w:t>㎡，平均功耗：</w:t>
            </w:r>
            <w:r>
              <w:rPr>
                <w:rFonts w:hint="eastAsia" w:ascii="宋体" w:hAnsi="宋体" w:eastAsia="宋体" w:cs="宋体"/>
                <w:color w:val="auto"/>
                <w:sz w:val="22"/>
                <w:szCs w:val="22"/>
                <w:highlight w:val="none"/>
                <w:lang w:val="en-US" w:eastAsia="zh-CN"/>
              </w:rPr>
              <w:t>≤180</w:t>
            </w:r>
            <w:r>
              <w:rPr>
                <w:rFonts w:hint="eastAsia" w:ascii="宋体" w:hAnsi="宋体" w:eastAsia="宋体" w:cs="宋体"/>
                <w:color w:val="auto"/>
                <w:sz w:val="22"/>
                <w:szCs w:val="22"/>
                <w:highlight w:val="none"/>
              </w:rPr>
              <w:t>W/</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18、</w:t>
            </w:r>
            <w:r>
              <w:rPr>
                <w:rFonts w:hint="eastAsia" w:ascii="宋体" w:hAnsi="宋体" w:cs="宋体"/>
                <w:i w:val="0"/>
                <w:color w:val="000000"/>
                <w:kern w:val="0"/>
                <w:sz w:val="22"/>
                <w:szCs w:val="22"/>
                <w:highlight w:val="none"/>
                <w:u w:val="none"/>
                <w:lang w:val="en-US" w:eastAsia="zh-CN" w:bidi="ar"/>
              </w:rPr>
              <w:t>产品</w:t>
            </w:r>
            <w:r>
              <w:rPr>
                <w:rFonts w:hint="eastAsia" w:ascii="宋体" w:hAnsi="宋体" w:eastAsia="宋体" w:cs="宋体"/>
                <w:i w:val="0"/>
                <w:color w:val="000000"/>
                <w:kern w:val="0"/>
                <w:sz w:val="22"/>
                <w:szCs w:val="22"/>
                <w:highlight w:val="none"/>
                <w:u w:val="none"/>
                <w:lang w:val="en-US" w:eastAsia="zh-CN" w:bidi="ar"/>
              </w:rPr>
              <w:t>通过3C认证（提供有效的证书复印件，加盖</w:t>
            </w:r>
            <w:r>
              <w:rPr>
                <w:rFonts w:hint="eastAsia" w:ascii="宋体" w:hAnsi="宋体" w:cs="宋体"/>
                <w:i w:val="0"/>
                <w:color w:val="000000"/>
                <w:kern w:val="0"/>
                <w:sz w:val="22"/>
                <w:szCs w:val="22"/>
                <w:highlight w:val="none"/>
                <w:u w:val="none"/>
                <w:lang w:val="en-US" w:eastAsia="zh-CN" w:bidi="ar"/>
              </w:rPr>
              <w:t>投标供应商</w:t>
            </w:r>
            <w:r>
              <w:rPr>
                <w:rFonts w:hint="eastAsia" w:ascii="宋体" w:hAnsi="宋体" w:eastAsia="宋体" w:cs="宋体"/>
                <w:i w:val="0"/>
                <w:color w:val="000000"/>
                <w:kern w:val="0"/>
                <w:sz w:val="22"/>
                <w:szCs w:val="22"/>
                <w:highlight w:val="none"/>
                <w:u w:val="none"/>
                <w:lang w:val="en-US" w:eastAsia="zh-CN" w:bidi="ar"/>
              </w:rPr>
              <w:t>公章）</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cs="宋体"/>
                <w:i w:val="0"/>
                <w:color w:val="000000"/>
                <w:kern w:val="0"/>
                <w:sz w:val="22"/>
                <w:szCs w:val="22"/>
                <w:highlight w:val="none"/>
                <w:u w:val="none"/>
                <w:lang w:val="en-US" w:eastAsia="zh-CN" w:bidi="ar"/>
              </w:rPr>
              <w:t>19</w:t>
            </w:r>
            <w:r>
              <w:rPr>
                <w:rFonts w:hint="eastAsia" w:ascii="宋体" w:hAnsi="宋体" w:eastAsia="宋体" w:cs="宋体"/>
                <w:i w:val="0"/>
                <w:color w:val="000000"/>
                <w:kern w:val="0"/>
                <w:sz w:val="22"/>
                <w:szCs w:val="22"/>
                <w:highlight w:val="none"/>
                <w:u w:val="none"/>
                <w:lang w:val="en-US" w:eastAsia="zh-CN" w:bidi="ar"/>
              </w:rPr>
              <w:t>、为了保证客户室内安全无火灾隐患，LED显示屏产品须通过国家防火阻燃最高标准V-0级（（提供检测报告复印件并加盖</w:t>
            </w:r>
            <w:r>
              <w:rPr>
                <w:rFonts w:hint="eastAsia" w:ascii="宋体" w:hAnsi="宋体" w:cs="宋体"/>
                <w:i w:val="0"/>
                <w:color w:val="000000"/>
                <w:kern w:val="0"/>
                <w:sz w:val="22"/>
                <w:szCs w:val="22"/>
                <w:highlight w:val="none"/>
                <w:u w:val="none"/>
                <w:lang w:val="en-US" w:eastAsia="zh-CN" w:bidi="ar"/>
              </w:rPr>
              <w:t>投标供应商</w:t>
            </w:r>
            <w:r>
              <w:rPr>
                <w:rFonts w:hint="eastAsia" w:ascii="宋体" w:hAnsi="宋体" w:eastAsia="宋体" w:cs="宋体"/>
                <w:i w:val="0"/>
                <w:color w:val="000000"/>
                <w:kern w:val="0"/>
                <w:sz w:val="22"/>
                <w:szCs w:val="22"/>
                <w:highlight w:val="none"/>
                <w:u w:val="none"/>
                <w:lang w:val="en-US" w:eastAsia="zh-CN" w:bidi="ar"/>
              </w:rPr>
              <w:t>公章）</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w:t>
            </w:r>
            <w:r>
              <w:rPr>
                <w:rFonts w:hint="eastAsia" w:ascii="宋体" w:hAnsi="宋体" w:cs="宋体"/>
                <w:i w:val="0"/>
                <w:color w:val="000000"/>
                <w:kern w:val="0"/>
                <w:sz w:val="22"/>
                <w:szCs w:val="22"/>
                <w:highlight w:val="none"/>
                <w:u w:val="none"/>
                <w:lang w:val="en-US" w:eastAsia="zh-CN" w:bidi="ar"/>
              </w:rPr>
              <w:t>0</w:t>
            </w:r>
            <w:r>
              <w:rPr>
                <w:rFonts w:hint="eastAsia" w:ascii="宋体" w:hAnsi="宋体" w:eastAsia="宋体" w:cs="宋体"/>
                <w:i w:val="0"/>
                <w:color w:val="000000"/>
                <w:kern w:val="0"/>
                <w:sz w:val="22"/>
                <w:szCs w:val="22"/>
                <w:highlight w:val="none"/>
                <w:u w:val="none"/>
                <w:lang w:val="en-US" w:eastAsia="zh-CN" w:bidi="ar"/>
              </w:rPr>
              <w:t>、产品须在温度为85℃和湿度85%情况下，保证150H以上无故障运行。（提供</w:t>
            </w:r>
            <w:r>
              <w:rPr>
                <w:rFonts w:hint="eastAsia" w:ascii="宋体" w:hAnsi="宋体" w:cs="宋体"/>
                <w:i w:val="0"/>
                <w:color w:val="000000"/>
                <w:kern w:val="0"/>
                <w:sz w:val="22"/>
                <w:szCs w:val="22"/>
                <w:highlight w:val="none"/>
                <w:u w:val="none"/>
                <w:lang w:val="en-US" w:eastAsia="zh-CN" w:bidi="ar"/>
              </w:rPr>
              <w:t>第三方检测机构</w:t>
            </w:r>
            <w:r>
              <w:rPr>
                <w:rFonts w:hint="eastAsia" w:ascii="宋体" w:hAnsi="宋体" w:eastAsia="宋体" w:cs="宋体"/>
                <w:i w:val="0"/>
                <w:color w:val="000000"/>
                <w:kern w:val="0"/>
                <w:sz w:val="22"/>
                <w:szCs w:val="22"/>
                <w:highlight w:val="none"/>
                <w:u w:val="none"/>
                <w:lang w:val="en-US" w:eastAsia="zh-CN" w:bidi="ar"/>
              </w:rPr>
              <w:t>的检测报告复印件加盖</w:t>
            </w:r>
            <w:r>
              <w:rPr>
                <w:rFonts w:hint="eastAsia" w:ascii="宋体" w:hAnsi="宋体" w:cs="宋体"/>
                <w:i w:val="0"/>
                <w:color w:val="000000"/>
                <w:kern w:val="0"/>
                <w:sz w:val="22"/>
                <w:szCs w:val="22"/>
                <w:highlight w:val="none"/>
                <w:u w:val="none"/>
                <w:lang w:val="en-US" w:eastAsia="zh-CN" w:bidi="ar"/>
              </w:rPr>
              <w:t>投标供应商</w:t>
            </w:r>
            <w:r>
              <w:rPr>
                <w:rFonts w:hint="eastAsia" w:ascii="宋体" w:hAnsi="宋体" w:eastAsia="宋体" w:cs="宋体"/>
                <w:i w:val="0"/>
                <w:color w:val="000000"/>
                <w:kern w:val="0"/>
                <w:sz w:val="22"/>
                <w:szCs w:val="22"/>
                <w:highlight w:val="none"/>
                <w:u w:val="none"/>
                <w:lang w:val="en-US" w:eastAsia="zh-CN" w:bidi="ar"/>
              </w:rPr>
              <w:t>公章）</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w:t>
            </w:r>
            <w:r>
              <w:rPr>
                <w:rFonts w:hint="eastAsia" w:ascii="宋体" w:hAnsi="宋体" w:cs="宋体"/>
                <w:i w:val="0"/>
                <w:color w:val="000000"/>
                <w:kern w:val="0"/>
                <w:sz w:val="22"/>
                <w:szCs w:val="22"/>
                <w:highlight w:val="none"/>
                <w:u w:val="none"/>
                <w:lang w:val="en-US" w:eastAsia="zh-CN" w:bidi="ar"/>
              </w:rPr>
              <w:t>1</w:t>
            </w:r>
            <w:r>
              <w:rPr>
                <w:rFonts w:hint="eastAsia" w:ascii="宋体" w:hAnsi="宋体" w:eastAsia="宋体" w:cs="宋体"/>
                <w:i w:val="0"/>
                <w:color w:val="000000"/>
                <w:kern w:val="0"/>
                <w:sz w:val="22"/>
                <w:szCs w:val="22"/>
                <w:highlight w:val="none"/>
                <w:u w:val="none"/>
                <w:lang w:val="en-US" w:eastAsia="zh-CN" w:bidi="ar"/>
              </w:rPr>
              <w:t>、为了观众身体不受蓝光伤害，LED显示屏须通过蓝光无风险危害检测。（提供第三方检测机构检测报告复印件并加盖</w:t>
            </w:r>
            <w:r>
              <w:rPr>
                <w:rFonts w:hint="eastAsia" w:ascii="宋体" w:hAnsi="宋体" w:cs="宋体"/>
                <w:i w:val="0"/>
                <w:color w:val="000000"/>
                <w:kern w:val="0"/>
                <w:sz w:val="22"/>
                <w:szCs w:val="22"/>
                <w:highlight w:val="none"/>
                <w:u w:val="none"/>
                <w:lang w:val="en-US" w:eastAsia="zh-CN" w:bidi="ar"/>
              </w:rPr>
              <w:t>投标供应商</w:t>
            </w:r>
            <w:r>
              <w:rPr>
                <w:rFonts w:hint="eastAsia" w:ascii="宋体" w:hAnsi="宋体" w:eastAsia="宋体" w:cs="宋体"/>
                <w:i w:val="0"/>
                <w:color w:val="000000"/>
                <w:kern w:val="0"/>
                <w:sz w:val="22"/>
                <w:szCs w:val="22"/>
                <w:highlight w:val="none"/>
                <w:u w:val="none"/>
                <w:lang w:val="en-US" w:eastAsia="zh-CN" w:bidi="ar"/>
              </w:rPr>
              <w:t>公章）</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w:t>
            </w:r>
            <w:r>
              <w:rPr>
                <w:rFonts w:hint="eastAsia" w:ascii="宋体" w:hAnsi="宋体" w:cs="宋体"/>
                <w:i w:val="0"/>
                <w:color w:val="000000"/>
                <w:kern w:val="0"/>
                <w:sz w:val="22"/>
                <w:szCs w:val="22"/>
                <w:highlight w:val="none"/>
                <w:u w:val="none"/>
                <w:lang w:val="en-US" w:eastAsia="zh-CN" w:bidi="ar"/>
              </w:rPr>
              <w:t>2</w:t>
            </w:r>
            <w:r>
              <w:rPr>
                <w:rFonts w:hint="eastAsia" w:ascii="宋体" w:hAnsi="宋体" w:eastAsia="宋体" w:cs="宋体"/>
                <w:i w:val="0"/>
                <w:color w:val="000000"/>
                <w:kern w:val="0"/>
                <w:sz w:val="22"/>
                <w:szCs w:val="22"/>
                <w:highlight w:val="none"/>
                <w:u w:val="none"/>
                <w:lang w:val="en-US" w:eastAsia="zh-CN" w:bidi="ar"/>
              </w:rPr>
              <w:t>、为确保屏体在不同环境温度的影响下仍可正常工作使用，要求投标人所投LED显示屏须通过-40℃和80℃的环境运行测试。（提供</w:t>
            </w:r>
            <w:r>
              <w:rPr>
                <w:rFonts w:hint="eastAsia" w:ascii="宋体" w:hAnsi="宋体" w:cs="宋体"/>
                <w:i w:val="0"/>
                <w:color w:val="000000"/>
                <w:kern w:val="0"/>
                <w:sz w:val="22"/>
                <w:szCs w:val="22"/>
                <w:highlight w:val="none"/>
                <w:u w:val="none"/>
                <w:lang w:val="en-US" w:eastAsia="zh-CN" w:bidi="ar"/>
              </w:rPr>
              <w:t>第三方检测机构</w:t>
            </w:r>
            <w:r>
              <w:rPr>
                <w:rFonts w:hint="eastAsia" w:ascii="宋体" w:hAnsi="宋体" w:eastAsia="宋体" w:cs="宋体"/>
                <w:i w:val="0"/>
                <w:color w:val="000000"/>
                <w:kern w:val="0"/>
                <w:sz w:val="22"/>
                <w:szCs w:val="22"/>
                <w:highlight w:val="none"/>
                <w:u w:val="none"/>
                <w:lang w:val="en-US" w:eastAsia="zh-CN" w:bidi="ar"/>
              </w:rPr>
              <w:t>的检测报告复印件并加盖</w:t>
            </w:r>
            <w:r>
              <w:rPr>
                <w:rFonts w:hint="eastAsia" w:ascii="宋体" w:hAnsi="宋体" w:cs="宋体"/>
                <w:i w:val="0"/>
                <w:color w:val="000000"/>
                <w:kern w:val="0"/>
                <w:sz w:val="22"/>
                <w:szCs w:val="22"/>
                <w:highlight w:val="none"/>
                <w:u w:val="none"/>
                <w:lang w:val="en-US" w:eastAsia="zh-CN" w:bidi="ar"/>
              </w:rPr>
              <w:t>投标供应商</w:t>
            </w:r>
            <w:r>
              <w:rPr>
                <w:rFonts w:hint="eastAsia" w:ascii="宋体" w:hAnsi="宋体" w:eastAsia="宋体" w:cs="宋体"/>
                <w:i w:val="0"/>
                <w:color w:val="000000"/>
                <w:kern w:val="0"/>
                <w:sz w:val="22"/>
                <w:szCs w:val="22"/>
                <w:highlight w:val="none"/>
                <w:u w:val="none"/>
                <w:lang w:val="en-US" w:eastAsia="zh-CN" w:bidi="ar"/>
              </w:rPr>
              <w:t>公章）</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w:t>
            </w:r>
            <w:r>
              <w:rPr>
                <w:rFonts w:hint="eastAsia" w:ascii="宋体" w:hAnsi="宋体" w:cs="宋体"/>
                <w:i w:val="0"/>
                <w:color w:val="000000"/>
                <w:kern w:val="0"/>
                <w:sz w:val="22"/>
                <w:szCs w:val="22"/>
                <w:highlight w:val="none"/>
                <w:u w:val="none"/>
                <w:lang w:val="en-US" w:eastAsia="zh-CN" w:bidi="ar"/>
              </w:rPr>
              <w:t>3</w:t>
            </w:r>
            <w:r>
              <w:rPr>
                <w:rFonts w:hint="eastAsia" w:ascii="宋体" w:hAnsi="宋体" w:eastAsia="宋体" w:cs="宋体"/>
                <w:i w:val="0"/>
                <w:color w:val="000000"/>
                <w:kern w:val="0"/>
                <w:sz w:val="22"/>
                <w:szCs w:val="22"/>
                <w:highlight w:val="none"/>
                <w:u w:val="none"/>
                <w:lang w:val="en-US" w:eastAsia="zh-CN" w:bidi="ar"/>
              </w:rPr>
              <w:t>、为了保证设备的安全性能以及人身安全,要求投标人所投LED显示屏在受到持续1min的AC1500V高压冲击下，屏体仍可正常通电工作。（提供</w:t>
            </w:r>
            <w:r>
              <w:rPr>
                <w:rFonts w:hint="eastAsia" w:ascii="宋体" w:hAnsi="宋体" w:cs="宋体"/>
                <w:i w:val="0"/>
                <w:color w:val="000000"/>
                <w:kern w:val="0"/>
                <w:sz w:val="22"/>
                <w:szCs w:val="22"/>
                <w:highlight w:val="none"/>
                <w:u w:val="none"/>
                <w:lang w:val="en-US" w:eastAsia="zh-CN" w:bidi="ar"/>
              </w:rPr>
              <w:t>第三方检测机构</w:t>
            </w:r>
            <w:r>
              <w:rPr>
                <w:rFonts w:hint="eastAsia" w:ascii="宋体" w:hAnsi="宋体" w:eastAsia="宋体" w:cs="宋体"/>
                <w:i w:val="0"/>
                <w:color w:val="000000"/>
                <w:kern w:val="0"/>
                <w:sz w:val="22"/>
                <w:szCs w:val="22"/>
                <w:highlight w:val="none"/>
                <w:u w:val="none"/>
                <w:lang w:val="en-US" w:eastAsia="zh-CN" w:bidi="ar"/>
              </w:rPr>
              <w:t>的检测报告复印件加盖</w:t>
            </w:r>
            <w:r>
              <w:rPr>
                <w:rFonts w:hint="eastAsia" w:ascii="宋体" w:hAnsi="宋体" w:cs="宋体"/>
                <w:i w:val="0"/>
                <w:color w:val="000000"/>
                <w:kern w:val="0"/>
                <w:sz w:val="22"/>
                <w:szCs w:val="22"/>
                <w:highlight w:val="none"/>
                <w:u w:val="none"/>
                <w:lang w:val="en-US" w:eastAsia="zh-CN" w:bidi="ar"/>
              </w:rPr>
              <w:t>投标供应商</w:t>
            </w:r>
            <w:r>
              <w:rPr>
                <w:rFonts w:hint="eastAsia" w:ascii="宋体" w:hAnsi="宋体" w:eastAsia="宋体" w:cs="宋体"/>
                <w:i w:val="0"/>
                <w:color w:val="000000"/>
                <w:kern w:val="0"/>
                <w:sz w:val="22"/>
                <w:szCs w:val="22"/>
                <w:highlight w:val="none"/>
                <w:u w:val="none"/>
                <w:lang w:val="en-US" w:eastAsia="zh-CN" w:bidi="ar"/>
              </w:rPr>
              <w:t>公章)</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w:t>
            </w:r>
            <w:r>
              <w:rPr>
                <w:rFonts w:hint="eastAsia" w:ascii="宋体" w:hAnsi="宋体" w:cs="宋体"/>
                <w:i w:val="0"/>
                <w:color w:val="000000"/>
                <w:kern w:val="0"/>
                <w:sz w:val="22"/>
                <w:szCs w:val="22"/>
                <w:highlight w:val="none"/>
                <w:u w:val="none"/>
                <w:lang w:val="en-US" w:eastAsia="zh-CN" w:bidi="ar"/>
              </w:rPr>
              <w:t>4</w:t>
            </w:r>
            <w:r>
              <w:rPr>
                <w:rFonts w:hint="eastAsia" w:ascii="宋体" w:hAnsi="宋体" w:eastAsia="宋体" w:cs="宋体"/>
                <w:i w:val="0"/>
                <w:color w:val="000000"/>
                <w:kern w:val="0"/>
                <w:sz w:val="22"/>
                <w:szCs w:val="22"/>
                <w:highlight w:val="none"/>
                <w:u w:val="none"/>
                <w:lang w:val="en-US" w:eastAsia="zh-CN" w:bidi="ar"/>
              </w:rPr>
              <w:t>、为了保证工作场所的无噪音影响，LED显示屏须通过噪声实验，≤20dBA(符合NR-10及以上标准级别）。（提供具有</w:t>
            </w:r>
            <w:r>
              <w:rPr>
                <w:rFonts w:hint="eastAsia" w:ascii="宋体" w:hAnsi="宋体" w:cs="宋体"/>
                <w:i w:val="0"/>
                <w:color w:val="000000"/>
                <w:kern w:val="0"/>
                <w:sz w:val="22"/>
                <w:szCs w:val="22"/>
                <w:highlight w:val="none"/>
                <w:u w:val="none"/>
                <w:lang w:val="en-US" w:eastAsia="zh-CN" w:bidi="ar"/>
              </w:rPr>
              <w:t>第三方检测机构</w:t>
            </w:r>
            <w:r>
              <w:rPr>
                <w:rFonts w:hint="eastAsia" w:ascii="宋体" w:hAnsi="宋体" w:eastAsia="宋体" w:cs="宋体"/>
                <w:i w:val="0"/>
                <w:color w:val="000000"/>
                <w:kern w:val="0"/>
                <w:sz w:val="22"/>
                <w:szCs w:val="22"/>
                <w:highlight w:val="none"/>
                <w:u w:val="none"/>
                <w:lang w:val="en-US" w:eastAsia="zh-CN" w:bidi="ar"/>
              </w:rPr>
              <w:t>的检测报告复印件并加盖</w:t>
            </w:r>
            <w:r>
              <w:rPr>
                <w:rFonts w:hint="eastAsia" w:ascii="宋体" w:hAnsi="宋体" w:cs="宋体"/>
                <w:i w:val="0"/>
                <w:color w:val="000000"/>
                <w:kern w:val="0"/>
                <w:sz w:val="22"/>
                <w:szCs w:val="22"/>
                <w:highlight w:val="none"/>
                <w:u w:val="none"/>
                <w:lang w:val="en-US" w:eastAsia="zh-CN" w:bidi="ar"/>
              </w:rPr>
              <w:t>投标供应商</w:t>
            </w:r>
            <w:r>
              <w:rPr>
                <w:rFonts w:hint="eastAsia" w:ascii="宋体" w:hAnsi="宋体" w:eastAsia="宋体" w:cs="宋体"/>
                <w:i w:val="0"/>
                <w:color w:val="000000"/>
                <w:kern w:val="0"/>
                <w:sz w:val="22"/>
                <w:szCs w:val="22"/>
                <w:highlight w:val="none"/>
                <w:u w:val="none"/>
                <w:lang w:val="en-US" w:eastAsia="zh-CN" w:bidi="ar"/>
              </w:rPr>
              <w:t>公章）</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cs="宋体"/>
                <w:i w:val="0"/>
                <w:color w:val="000000"/>
                <w:kern w:val="0"/>
                <w:sz w:val="22"/>
                <w:szCs w:val="22"/>
                <w:highlight w:val="none"/>
                <w:u w:val="none"/>
                <w:lang w:val="en-US" w:eastAsia="zh-CN" w:bidi="ar"/>
              </w:rPr>
              <w:t>25</w:t>
            </w:r>
            <w:r>
              <w:rPr>
                <w:rFonts w:hint="eastAsia" w:ascii="宋体" w:hAnsi="宋体" w:eastAsia="宋体" w:cs="宋体"/>
                <w:i w:val="0"/>
                <w:color w:val="000000"/>
                <w:kern w:val="0"/>
                <w:sz w:val="22"/>
                <w:szCs w:val="22"/>
                <w:highlight w:val="none"/>
                <w:u w:val="none"/>
                <w:lang w:val="en-US" w:eastAsia="zh-CN" w:bidi="ar"/>
              </w:rPr>
              <w:t>、提供投标产品原厂出厂配置表、产品出厂技术规格标准或者带有技术参数的中文彩页资料。</w:t>
            </w:r>
          </w:p>
        </w:tc>
      </w:tr>
      <w:tr>
        <w:tblPrEx>
          <w:tblCellMar>
            <w:top w:w="0" w:type="dxa"/>
            <w:left w:w="0" w:type="dxa"/>
            <w:bottom w:w="0" w:type="dxa"/>
            <w:right w:w="0" w:type="dxa"/>
          </w:tblCellMar>
        </w:tblPrEx>
        <w:trPr>
          <w:trHeight w:val="485"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数据接收卡</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张</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w:t>
            </w:r>
          </w:p>
        </w:tc>
        <w:tc>
          <w:tcPr>
            <w:tcW w:w="7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1、集成HUB75，无需再配转接板，更方便，成本更低；</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2、减少接插连接件，减少故障点，故障率更低；</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3、支持常规芯片实现高刷新、高灰度、高亮度；</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4、全新灰度引擎，低灰度表现更佳；</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5、细节处理更完美，可消除单元板设计引起的某行偏暗、低灰偏红、鬼影等细节问题；</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6、支持14bit精度的色度、亮度一体化逐点校正；</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7、支持所有常规芯片、PWM芯片和灯饰芯片；</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8、支持静态屏、1/2~1/64扫之间的任意扫描类型；</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9、支持任意抽点，支持数据偏移，可轻松实现各种异型屏、球形屏、创意显示屏；</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10、单卡支持16组RGB信号输出；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11、支持超大带载面积，单卡带载128*512，256*256；</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12、先进设计，优质元器件，全自动高低温老化测试，零故障出厂；</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13、支持DC 3.3V~6V超宽工作电压，有效减弱电压波动带来的影响；</w:t>
            </w:r>
          </w:p>
        </w:tc>
      </w:tr>
      <w:tr>
        <w:tblPrEx>
          <w:tblCellMar>
            <w:top w:w="0" w:type="dxa"/>
            <w:left w:w="0" w:type="dxa"/>
            <w:bottom w:w="0" w:type="dxa"/>
            <w:right w:w="0" w:type="dxa"/>
          </w:tblCellMar>
        </w:tblPrEx>
        <w:trPr>
          <w:trHeight w:val="5109"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视屏处理器</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台</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7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专业主控是针对LED显示屏工程应用领域的专业级控制系统和视频处理设备；具备丰富的视频信号接口，支持HDMI、DVI等高清数字接口，多路信号间无缝切换；支持广播级缩放及多画面显示。具备6个千兆网口输出，单机可支持最宽8192像素，或最高8192像素的LED显示屏。同时，还具备一系列丰富实用的功能，可以实现灵活的屏幕控制和高品质的图像显示，在LED显示屏工程应用领域具有显著优势。</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•支持丰富的数字信号接口，包括2路DVI，1路HDMI，1路SDI；</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•最大输入分辨率1920*1200@60Hz，支持分辨率任意设置；</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•最大带载390万像素，最宽可达8192点，或最高可达8192点；</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•支持视频源任意切换，任意缩放；</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•支持三画面显示，位置、大小可自由调节；</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•支持HDCP1.4；</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•双USB2.0高速通讯接口，用于电脑调试和主控间任意级联；</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•支持亮度、色温调节，支持对比度、色调、饱和度调节；</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•支持低亮高灰；</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•支持扩展U盘播放，WiFi投屏和1路HDMI高清输入；</w:t>
            </w:r>
          </w:p>
        </w:tc>
      </w:tr>
      <w:tr>
        <w:tblPrEx>
          <w:tblCellMar>
            <w:top w:w="0" w:type="dxa"/>
            <w:left w:w="0" w:type="dxa"/>
            <w:bottom w:w="0" w:type="dxa"/>
            <w:right w:w="0" w:type="dxa"/>
          </w:tblCellMar>
        </w:tblPrEx>
        <w:trPr>
          <w:trHeight w:val="78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智能控制电箱</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台</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7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配电箱：20KW 配电柜内装有空气开关、熔断器、交流接触器、电流互感器、电压互感器、电源防雷器等，,含多功能卡智能上电系统，具有过流、过压、欠压、短路、断路、超温、超负荷、断电、等保护功能</w:t>
            </w:r>
          </w:p>
        </w:tc>
      </w:tr>
      <w:tr>
        <w:tblPrEx>
          <w:tblCellMar>
            <w:top w:w="0" w:type="dxa"/>
            <w:left w:w="0" w:type="dxa"/>
            <w:bottom w:w="0" w:type="dxa"/>
            <w:right w:w="0" w:type="dxa"/>
          </w:tblCellMar>
        </w:tblPrEx>
        <w:trPr>
          <w:trHeight w:val="2704"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钢架</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平方</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13.1</w:t>
            </w:r>
          </w:p>
        </w:tc>
        <w:tc>
          <w:tcPr>
            <w:tcW w:w="7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1、钢结构：钢架构件（含接合板）采用Q235B钢制作，结构用钢应符合《GB700-88》规定的Q235要求，保证其抗拉强度、伸长率、屈服点，碳、硫、磷的极限含量；</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2、焊条：手工焊：Q235连接用E43系列焊条；</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3、自动焊：Q235连接用H08系列焊条；</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4、要求：抗风8级 抗震7级；</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5、包边：不锈钢包边；</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6、钢架采用曲面圆弧型定制；</w:t>
            </w:r>
          </w:p>
        </w:tc>
      </w:tr>
      <w:tr>
        <w:tblPrEx>
          <w:tblCellMar>
            <w:top w:w="0" w:type="dxa"/>
            <w:left w:w="0" w:type="dxa"/>
            <w:bottom w:w="0" w:type="dxa"/>
            <w:right w:w="0" w:type="dxa"/>
          </w:tblCellMar>
        </w:tblPrEx>
        <w:trPr>
          <w:trHeight w:val="420"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辅材及税点</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批</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7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含所有管线敷设材料、人工费及税点</w:t>
            </w:r>
          </w:p>
        </w:tc>
      </w:tr>
      <w:tr>
        <w:tblPrEx>
          <w:tblCellMar>
            <w:top w:w="0" w:type="dxa"/>
            <w:left w:w="0" w:type="dxa"/>
            <w:bottom w:w="0" w:type="dxa"/>
            <w:right w:w="0" w:type="dxa"/>
          </w:tblCellMar>
        </w:tblPrEx>
        <w:trPr>
          <w:trHeight w:val="420" w:hRule="atLeast"/>
        </w:trPr>
        <w:tc>
          <w:tcPr>
            <w:tcW w:w="948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FF0000"/>
                <w:kern w:val="0"/>
                <w:sz w:val="22"/>
                <w:szCs w:val="22"/>
                <w:highlight w:val="none"/>
                <w:u w:val="none"/>
                <w:lang w:val="en-US" w:eastAsia="zh-CN" w:bidi="ar"/>
              </w:rPr>
              <w:t>备注：单项报价请各供应商将第6点辅材及税点费用分摊到1-5项内（方便校方登记入库）。</w:t>
            </w:r>
          </w:p>
        </w:tc>
      </w:tr>
    </w:tbl>
    <w:p>
      <w:pPr>
        <w:pStyle w:val="9"/>
        <w:ind w:left="0" w:leftChars="0" w:firstLine="0" w:firstLineChars="0"/>
        <w:rPr>
          <w:rFonts w:hint="eastAsia" w:ascii="宋体" w:hAnsi="宋体" w:cs="宋体"/>
          <w:b/>
          <w:bCs/>
          <w:color w:val="auto"/>
          <w:spacing w:val="-6"/>
          <w:sz w:val="22"/>
          <w:szCs w:val="22"/>
          <w:highlight w:val="none"/>
        </w:rPr>
      </w:pPr>
    </w:p>
    <w:p>
      <w:pPr>
        <w:spacing w:line="360" w:lineRule="exact"/>
        <w:rPr>
          <w:rFonts w:hint="eastAsia" w:ascii="宋体" w:hAnsi="宋体" w:cs="宋体"/>
          <w:b/>
          <w:bCs/>
          <w:color w:val="auto"/>
          <w:sz w:val="22"/>
          <w:szCs w:val="22"/>
          <w:highlight w:val="none"/>
        </w:rPr>
      </w:pPr>
      <w:r>
        <w:rPr>
          <w:rFonts w:hint="eastAsia" w:ascii="宋体" w:hAnsi="宋体" w:cs="宋体"/>
          <w:b/>
          <w:color w:val="auto"/>
          <w:spacing w:val="-6"/>
          <w:sz w:val="22"/>
          <w:szCs w:val="22"/>
          <w:highlight w:val="none"/>
        </w:rPr>
        <w:t>四、其他</w:t>
      </w:r>
    </w:p>
    <w:p>
      <w:pPr>
        <w:spacing w:line="360" w:lineRule="exact"/>
        <w:ind w:firstLine="418" w:firstLineChars="20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color w:val="auto"/>
          <w:spacing w:val="-6"/>
          <w:sz w:val="22"/>
          <w:szCs w:val="22"/>
          <w:highlight w:val="none"/>
        </w:rPr>
      </w:pPr>
      <w:r>
        <w:rPr>
          <w:rFonts w:hint="eastAsia" w:ascii="宋体" w:hAnsi="宋体" w:cs="宋体"/>
          <w:b/>
          <w:color w:val="auto"/>
          <w:spacing w:val="-6"/>
          <w:sz w:val="22"/>
          <w:szCs w:val="22"/>
          <w:highlight w:val="none"/>
        </w:rPr>
        <w:t>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pPr>
        <w:adjustRightInd w:val="0"/>
        <w:snapToGrid w:val="0"/>
        <w:spacing w:before="120" w:beforeLines="50" w:after="120" w:afterLines="50" w:line="360" w:lineRule="auto"/>
        <w:jc w:val="center"/>
        <w:outlineLvl w:val="0"/>
        <w:rPr>
          <w:rFonts w:hint="eastAsia" w:ascii="宋体" w:hAnsi="宋体" w:cs="宋体"/>
          <w:b/>
          <w:color w:val="auto"/>
          <w:sz w:val="30"/>
          <w:szCs w:val="30"/>
          <w:highlight w:val="none"/>
        </w:rPr>
      </w:pPr>
    </w:p>
    <w:p>
      <w:pPr>
        <w:pStyle w:val="9"/>
        <w:ind w:firstLine="560"/>
        <w:rPr>
          <w:rFonts w:hint="eastAsia"/>
          <w:color w:val="auto"/>
          <w:highlight w:val="none"/>
        </w:rPr>
      </w:pPr>
    </w:p>
    <w:p>
      <w:pPr>
        <w:pStyle w:val="9"/>
        <w:ind w:firstLine="560"/>
        <w:rPr>
          <w:rFonts w:hint="eastAsia"/>
          <w:color w:val="auto"/>
          <w:highlight w:val="none"/>
        </w:rPr>
      </w:pPr>
    </w:p>
    <w:p>
      <w:pPr>
        <w:pStyle w:val="9"/>
        <w:ind w:firstLine="560"/>
        <w:rPr>
          <w:rFonts w:hint="eastAsia"/>
          <w:color w:val="auto"/>
          <w:highlight w:val="none"/>
        </w:rPr>
      </w:pPr>
    </w:p>
    <w:p>
      <w:pPr>
        <w:pStyle w:val="9"/>
        <w:ind w:left="0" w:leftChars="0" w:firstLine="0" w:firstLineChars="0"/>
        <w:rPr>
          <w:rFonts w:hint="eastAsia"/>
          <w:color w:val="auto"/>
          <w:highlight w:val="none"/>
        </w:rPr>
      </w:pPr>
    </w:p>
    <w:p>
      <w:pPr>
        <w:pStyle w:val="9"/>
        <w:ind w:left="0" w:leftChars="0" w:firstLine="0" w:firstLineChars="0"/>
        <w:rPr>
          <w:rFonts w:hint="eastAsia"/>
          <w:color w:val="auto"/>
          <w:highlight w:val="none"/>
        </w:rPr>
      </w:pPr>
    </w:p>
    <w:p>
      <w:pPr>
        <w:pStyle w:val="9"/>
        <w:ind w:left="0" w:leftChars="0" w:firstLine="0" w:firstLineChars="0"/>
        <w:rPr>
          <w:rFonts w:hint="eastAsia"/>
          <w:color w:val="auto"/>
          <w:highlight w:val="none"/>
        </w:rPr>
      </w:pPr>
    </w:p>
    <w:p>
      <w:pPr>
        <w:pStyle w:val="9"/>
        <w:ind w:left="0" w:leftChars="0" w:firstLine="0" w:firstLineChars="0"/>
        <w:rPr>
          <w:rFonts w:hint="eastAsia"/>
          <w:color w:val="auto"/>
          <w:highlight w:val="none"/>
        </w:rPr>
      </w:pPr>
    </w:p>
    <w:p>
      <w:pPr>
        <w:pStyle w:val="9"/>
        <w:ind w:left="0" w:leftChars="0" w:firstLine="0" w:firstLineChars="0"/>
        <w:rPr>
          <w:rFonts w:hint="eastAsia"/>
          <w:color w:val="auto"/>
          <w:highlight w:val="none"/>
        </w:rPr>
      </w:pPr>
    </w:p>
    <w:p>
      <w:pPr>
        <w:pStyle w:val="9"/>
        <w:ind w:left="0" w:leftChars="0" w:firstLine="0" w:firstLineChars="0"/>
        <w:rPr>
          <w:rFonts w:hint="eastAsia"/>
          <w:color w:val="auto"/>
          <w:highlight w:val="none"/>
        </w:rPr>
      </w:pPr>
    </w:p>
    <w:p>
      <w:pPr>
        <w:pStyle w:val="9"/>
        <w:ind w:left="0" w:leftChars="0" w:firstLine="0" w:firstLineChars="0"/>
        <w:rPr>
          <w:rFonts w:hint="eastAsia"/>
          <w:color w:val="auto"/>
          <w:highlight w:val="none"/>
        </w:rPr>
      </w:pPr>
    </w:p>
    <w:p>
      <w:pPr>
        <w:pStyle w:val="9"/>
        <w:ind w:left="0" w:leftChars="0" w:firstLine="0" w:firstLineChars="0"/>
        <w:rPr>
          <w:rFonts w:hint="eastAsia"/>
          <w:color w:val="auto"/>
          <w:highlight w:val="none"/>
        </w:rPr>
      </w:pPr>
    </w:p>
    <w:p>
      <w:pPr>
        <w:pStyle w:val="9"/>
        <w:ind w:left="0" w:leftChars="0" w:firstLine="0" w:firstLineChars="0"/>
        <w:rPr>
          <w:rFonts w:hint="eastAsia"/>
          <w:color w:val="auto"/>
          <w:highlight w:val="none"/>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215915"/>
    <w:multiLevelType w:val="singleLevel"/>
    <w:tmpl w:val="E5215915"/>
    <w:lvl w:ilvl="0" w:tentative="0">
      <w:start w:val="1"/>
      <w:numFmt w:val="decimal"/>
      <w:suff w:val="nothing"/>
      <w:lvlText w:val="%1、"/>
      <w:lvlJc w:val="left"/>
    </w:lvl>
  </w:abstractNum>
  <w:abstractNum w:abstractNumId="1">
    <w:nsid w:val="EF82BFD4"/>
    <w:multiLevelType w:val="singleLevel"/>
    <w:tmpl w:val="EF82BFD4"/>
    <w:lvl w:ilvl="0" w:tentative="0">
      <w:start w:val="3"/>
      <w:numFmt w:val="chineseCounting"/>
      <w:suff w:val="nothing"/>
      <w:lvlText w:val="%1、"/>
      <w:lvlJc w:val="left"/>
      <w:rPr>
        <w:rFonts w:hint="eastAsia"/>
      </w:rPr>
    </w:lvl>
  </w:abstractNum>
  <w:abstractNum w:abstractNumId="2">
    <w:nsid w:val="6545C602"/>
    <w:multiLevelType w:val="singleLevel"/>
    <w:tmpl w:val="6545C602"/>
    <w:lvl w:ilvl="0" w:tentative="0">
      <w:start w:val="13"/>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78DC"/>
    <w:rsid w:val="18B72211"/>
    <w:rsid w:val="18C40218"/>
    <w:rsid w:val="39BE5198"/>
    <w:rsid w:val="3A89141C"/>
    <w:rsid w:val="400225AA"/>
    <w:rsid w:val="634D1C70"/>
    <w:rsid w:val="66723EAF"/>
    <w:rsid w:val="6CD3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lock Text"/>
    <w:basedOn w:val="1"/>
    <w:uiPriority w:val="0"/>
    <w:pPr>
      <w:adjustRightInd w:val="0"/>
      <w:spacing w:line="300" w:lineRule="auto"/>
      <w:ind w:left="958" w:rightChars="-120"/>
      <w:jc w:val="left"/>
    </w:pPr>
    <w:rPr>
      <w:rFonts w:ascii="宋体" w:hAnsi="宋体"/>
      <w:sz w:val="28"/>
    </w:rPr>
  </w:style>
  <w:style w:type="paragraph" w:styleId="3">
    <w:name w:val="annotation text"/>
    <w:basedOn w:val="1"/>
    <w:uiPriority w:val="0"/>
    <w:pPr>
      <w:jc w:val="left"/>
    </w:pPr>
  </w:style>
  <w:style w:type="paragraph" w:styleId="4">
    <w:name w:val="Body Text"/>
    <w:basedOn w:val="1"/>
    <w:qFormat/>
    <w:uiPriority w:val="0"/>
    <w:pPr>
      <w:spacing w:after="120"/>
    </w:pPr>
  </w:style>
  <w:style w:type="paragraph" w:styleId="5">
    <w:name w:val="Body Text Indent"/>
    <w:basedOn w:val="1"/>
    <w:qFormat/>
    <w:uiPriority w:val="0"/>
    <w:pPr>
      <w:adjustRightInd w:val="0"/>
      <w:spacing w:line="360" w:lineRule="auto"/>
      <w:ind w:firstLine="490"/>
      <w:jc w:val="left"/>
    </w:pPr>
    <w:rPr>
      <w:rFonts w:ascii="宋体" w:hAnsi="宋体"/>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0"/>
    <w:pPr>
      <w:ind w:firstLine="420" w:firstLineChars="100"/>
    </w:pPr>
  </w:style>
  <w:style w:type="paragraph" w:styleId="9">
    <w:name w:val="Body Text First Indent 2"/>
    <w:basedOn w:val="5"/>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2020-08-04T03:08:31Z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