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noWrap w:val="0"/>
            <w:vAlign w:val="top"/>
          </w:tcPr>
          <w:p>
            <w:pPr>
              <w:pStyle w:val="3"/>
              <w:spacing w:line="460" w:lineRule="exact"/>
              <w:jc w:val="center"/>
              <w:rPr>
                <w:rFonts w:hint="eastAsia"/>
                <w:color w:val="000000"/>
                <w:sz w:val="28"/>
                <w:szCs w:val="28"/>
                <w:highlight w:val="none"/>
              </w:rPr>
            </w:pPr>
            <w:bookmarkStart w:id="0" w:name="_Toc14003277"/>
            <w:r>
              <w:rPr>
                <w:rFonts w:hint="eastAsia"/>
                <w:color w:val="000000"/>
                <w:sz w:val="28"/>
                <w:szCs w:val="28"/>
                <w:highlight w:val="none"/>
              </w:rPr>
              <w:t>一、 相关说明</w:t>
            </w:r>
            <w:bookmarkEnd w:id="0"/>
          </w:p>
          <w:p>
            <w:pPr>
              <w:spacing w:line="460" w:lineRule="exact"/>
              <w:ind w:left="420" w:leftChars="200"/>
              <w:rPr>
                <w:rFonts w:ascii="宋体" w:hAnsi="宋体" w:cs="宋体"/>
                <w:bCs/>
                <w:color w:val="000000"/>
                <w:sz w:val="22"/>
                <w:szCs w:val="22"/>
                <w:highlight w:val="none"/>
              </w:rPr>
            </w:pPr>
            <w:bookmarkStart w:id="1" w:name="_Toc384221224"/>
            <w:r>
              <w:rPr>
                <w:rFonts w:hint="eastAsia" w:ascii="宋体" w:hAnsi="宋体" w:cs="宋体"/>
                <w:bCs/>
                <w:color w:val="000000"/>
                <w:sz w:val="22"/>
                <w:szCs w:val="22"/>
                <w:highlight w:val="none"/>
              </w:rPr>
              <w:t>1.网络通识选修课资源平台是我院日常教学工作的重要一环，涉及到学生公共选修课的课程修读。现阶段学院学生公选课的修读，有一半以上是通过网络通识选修课资源平台完成。此外，在学院教师的教学活动过程中，也更加频繁地利用网络课程资源平台作为辅助材料，穿插在日常教学活动之中。</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w:t>
            </w:r>
            <w:r>
              <w:rPr>
                <w:rFonts w:ascii="宋体" w:hAnsi="宋体" w:cs="宋体"/>
                <w:bCs/>
                <w:color w:val="000000"/>
                <w:sz w:val="22"/>
                <w:szCs w:val="22"/>
                <w:highlight w:val="none"/>
              </w:rPr>
              <w:t xml:space="preserve">. </w:t>
            </w:r>
            <w:r>
              <w:rPr>
                <w:rFonts w:hint="eastAsia" w:ascii="宋体" w:hAnsi="宋体" w:cs="宋体"/>
                <w:bCs/>
                <w:color w:val="000000"/>
                <w:sz w:val="22"/>
                <w:szCs w:val="22"/>
                <w:highlight w:val="none"/>
              </w:rPr>
              <w:t>付款方式等内容见合同主要条款。</w:t>
            </w:r>
          </w:p>
          <w:p>
            <w:pPr>
              <w:spacing w:line="460" w:lineRule="exact"/>
              <w:ind w:left="420" w:leftChars="200"/>
              <w:rPr>
                <w:rFonts w:hint="eastAsia" w:ascii="宋体" w:hAnsi="宋体" w:cs="宋体"/>
                <w:b/>
                <w:color w:val="000000"/>
                <w:kern w:val="0"/>
                <w:sz w:val="22"/>
                <w:szCs w:val="22"/>
                <w:highlight w:val="none"/>
              </w:rPr>
            </w:pPr>
            <w:r>
              <w:rPr>
                <w:rFonts w:ascii="宋体" w:hAnsi="宋体" w:cs="宋体"/>
                <w:b/>
                <w:color w:val="000000"/>
                <w:kern w:val="0"/>
                <w:sz w:val="22"/>
                <w:szCs w:val="22"/>
                <w:highlight w:val="none"/>
              </w:rPr>
              <w:t>3</w:t>
            </w:r>
            <w:r>
              <w:rPr>
                <w:rFonts w:hint="eastAsia" w:ascii="宋体" w:hAnsi="宋体" w:cs="宋体"/>
                <w:b/>
                <w:color w:val="000000"/>
                <w:kern w:val="0"/>
                <w:sz w:val="22"/>
                <w:szCs w:val="22"/>
                <w:highlight w:val="none"/>
              </w:rPr>
              <w:t>.</w:t>
            </w:r>
            <w:r>
              <w:rPr>
                <w:rFonts w:hint="eastAsia" w:ascii="宋体" w:hAnsi="宋体"/>
                <w:b/>
                <w:color w:val="000000"/>
                <w:sz w:val="22"/>
                <w:szCs w:val="22"/>
                <w:highlight w:val="none"/>
              </w:rPr>
              <w:t>▲</w:t>
            </w:r>
            <w:r>
              <w:rPr>
                <w:rFonts w:hint="eastAsia" w:ascii="宋体" w:hAnsi="宋体" w:cs="宋体"/>
                <w:b/>
                <w:color w:val="000000"/>
                <w:kern w:val="0"/>
                <w:sz w:val="22"/>
                <w:szCs w:val="22"/>
                <w:highlight w:val="none"/>
                <w:u w:val="single"/>
              </w:rPr>
              <w:t>本项目采购预算为人民币贰拾肆万元整（￥240000元），最后报价超过预算的，按无效标处理</w:t>
            </w:r>
            <w:r>
              <w:rPr>
                <w:rFonts w:hint="eastAsia" w:ascii="宋体" w:hAnsi="宋体" w:cs="宋体"/>
                <w:b/>
                <w:color w:val="000000"/>
                <w:kern w:val="0"/>
                <w:sz w:val="22"/>
                <w:szCs w:val="22"/>
                <w:highlight w:val="none"/>
              </w:rPr>
              <w:t>。</w:t>
            </w:r>
          </w:p>
          <w:bookmarkEnd w:id="1"/>
          <w:p>
            <w:pPr>
              <w:keepNext/>
              <w:keepLines/>
              <w:spacing w:before="260" w:after="260" w:line="460" w:lineRule="exact"/>
              <w:jc w:val="center"/>
              <w:outlineLvl w:val="1"/>
              <w:rPr>
                <w:rFonts w:hint="eastAsia" w:ascii="Arial" w:hAnsi="Arial" w:eastAsia="黑体"/>
                <w:b/>
                <w:bCs/>
                <w:color w:val="000000"/>
                <w:sz w:val="28"/>
                <w:szCs w:val="28"/>
                <w:highlight w:val="none"/>
              </w:rPr>
            </w:pPr>
            <w:bookmarkStart w:id="2" w:name="_Toc4086635"/>
            <w:bookmarkStart w:id="3" w:name="_Toc16334"/>
            <w:bookmarkStart w:id="4" w:name="_Toc14003278"/>
            <w:r>
              <w:rPr>
                <w:rFonts w:hint="eastAsia" w:ascii="Arial" w:hAnsi="Arial" w:eastAsia="黑体"/>
                <w:b/>
                <w:bCs/>
                <w:color w:val="000000"/>
                <w:sz w:val="28"/>
                <w:szCs w:val="28"/>
                <w:highlight w:val="none"/>
              </w:rPr>
              <w:t>二、 采购内容及技术要求</w:t>
            </w:r>
            <w:bookmarkEnd w:id="2"/>
            <w:bookmarkEnd w:id="3"/>
            <w:bookmarkEnd w:id="4"/>
          </w:p>
          <w:p>
            <w:pPr>
              <w:spacing w:line="460" w:lineRule="exact"/>
              <w:ind w:left="420" w:leftChars="200"/>
              <w:rPr>
                <w:rFonts w:hint="eastAsia" w:ascii="宋体" w:hAnsi="宋体" w:cs="宋体"/>
                <w:bCs/>
                <w:color w:val="000000"/>
                <w:sz w:val="22"/>
                <w:szCs w:val="22"/>
                <w:highlight w:val="none"/>
              </w:rPr>
            </w:pPr>
            <w:bookmarkStart w:id="5" w:name="_Toc474829536"/>
            <w:bookmarkStart w:id="6" w:name="_Toc31708"/>
            <w:r>
              <w:rPr>
                <w:rFonts w:hint="eastAsia" w:ascii="宋体" w:hAnsi="宋体" w:cs="宋体"/>
                <w:bCs/>
                <w:color w:val="000000"/>
                <w:sz w:val="22"/>
                <w:szCs w:val="22"/>
                <w:highlight w:val="none"/>
              </w:rPr>
              <w:t>（一）总体要求</w:t>
            </w:r>
            <w:bookmarkEnd w:id="5"/>
            <w:bookmarkEnd w:id="6"/>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为提升我校的学生综合素养，培养培育专而全的新型人才，适应当前快速发展发育的时代要求，因而开设通识素养教育。我方所需的通识教育学习系统，包括以下模块：通识素养测评功能、通识教育经典阅读数字教材、通识素养课程模块、通识教育课程学习系统管理功能、通识教育学习报告、学习结果问卷调查功能、通识教育学习系统移动端等，所有模块在同一个平台上运行，提供配套的移动端，并支持ios、Android两大系统，移动端无缝对接平台。提供不少于500门的在线通识类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 xml:space="preserve">2.须提供2021年1月1日-2022年12月31日两年服务。 </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3.所提供平台系统架构具有较好的可维护性和可扩展性。</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平台开发技术上采用基于Unix或Linux操作系统，保证使用的稳定性，安全性和运行效率。</w:t>
            </w:r>
          </w:p>
          <w:p>
            <w:pPr>
              <w:spacing w:line="460" w:lineRule="exact"/>
              <w:ind w:left="420" w:leftChars="200"/>
              <w:rPr>
                <w:rFonts w:hint="eastAsia" w:ascii="宋体" w:hAnsi="宋体" w:cs="宋体"/>
                <w:bCs/>
                <w:color w:val="000000"/>
                <w:sz w:val="22"/>
                <w:szCs w:val="22"/>
                <w:highlight w:val="none"/>
              </w:rPr>
            </w:pPr>
            <w:bookmarkStart w:id="7" w:name="_Toc474829537"/>
            <w:bookmarkStart w:id="8" w:name="_Toc22046"/>
            <w:r>
              <w:rPr>
                <w:rFonts w:hint="eastAsia" w:ascii="宋体" w:hAnsi="宋体" w:cs="宋体"/>
                <w:bCs/>
                <w:color w:val="000000"/>
                <w:sz w:val="22"/>
                <w:szCs w:val="22"/>
                <w:highlight w:val="none"/>
              </w:rPr>
              <w:t>（二）技术要求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1.通识素养测评功能要求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需求:测评体系旨在帮助学生了解分析其自身各个维度上素养的优势与不足，在大学学习的有限时间内，能够有针对性地查漏补缺，提升个人整体的素养水平。提供分析详尽的在线测评后台及测评结果报告，帮助学校全方位了解本校学生的测评结果，以便在招生与教学过程中，有针对性地对学生普遍存在的薄弱环节进行适时的学前教育，学生在选择相关课程、组织相关活动过程中更加有侧重点，帮助学生全面提高个人各维度的素养。</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学生在完成测评并查看个人结果后，可以直接通过平台及客户端精准获取提升自身素养所需的相关权威课程资源与阅读资源。平台能够提供丰富的资源，帮助学生解决在学习过程中遇到不知道如何获取学习资料、只获取课程资源导致缺乏学习动力、获取的学习资料不完整或不权威等问题。通识素养测评：针对学生通识素养进行测评，主要包括国学、科技、社会管理、人类思想、文学艺术、历史文明等六个方面的内容。</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国学基础：以经典国学作品为基础，综合考察中国传统国学相关知识。主要包括中国古代哲学思想解读、古代经典作品内容与分析、古代礼仪与文明实际应用等内容。</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科学技术：全方位剖析科学发展的历史及其精神内涵。考核数学、物理、化学、生物等领域的基础理论，以及神经、认知、材料、计算机、互联网等领域的最新进展情况。</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社会管理：揭示经济活动的一般规律，不仅仅关注经济活动的一般表象，更能够深入考察经济活动背后的理论与实际运作。同时兼顾社会管理领域，解读管理活动的理论与内涵。</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人类思想：探索人类信仰、法理、哲学等思想的发展历程及其产生的重大影响，能够从本质上揭示各种思想的异同。同时能够联结中西思想领域，以宏观视野对思想进行对比。</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文学艺术：对人类自古至今的文学与艺术进行全面而适当的考核。兼顾中西、古今等多个视角，囊括文学、音乐、绘画、建筑、雕塑、摄影等各个相关领域的主要作品、大师、事件。</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历史文明：多维度展现世界各种文化的兴起与衰亡，剖析人类历史进程的关键转折点，发掘个人、组织、事件、环境等各个要素对整个人类文明演变产生的深远影响。</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测评主要功能要求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测评功能：自动识别学生对应学校通识课程的开课课程信息。在学生测评过程中记录学生的参与时间、最终成绩、每道题目的答题情况等详细数据。</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引导功能：测评完成后，必须能够推荐相关学习资料，帮助学生提高通识素养能力。要求推荐不少于6门相关课程及10本相关图书。学生应能够直接在测评系统内试看推荐的课程，并能够直接进入选课系统选课。推荐的相关图书应能够直接阅读全文。</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学习功能：给学生提供提升通识素养的工具，帮助学生针对自身薄弱领域进行提升。</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数据统计分析功能：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测评完成后，需要提供详细的学生报告。报告中需要包括测评内容体系各门类的详细分数、成绩评价，要能够回看学生历次测评结果。</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测评过程中，需要给校方提供实时监控后台，以便查看各年级、各专业学生的参与情况；并能够直接提供各分数段、各内容体系维度的数据分析结果，向学校展示学生整体通识素养水平。</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结束后，需向学校提供详尽完整的《通识素养提升解决方案》。该解决方案需要分年级、学院、内容体系维度等方面对学生数据进行分析，并且针对学校的开课清单、通识资源建设、教学改革方面提出合理化建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测评题目数量及时长要求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测评题目内容需要涵盖上述所有测评内容门类。</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单次测评题目数量不少于50道，测评总时长不少于15分钟。</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题库包含题目总量不少于500道。其中测评体系中各门类不少于100道。</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测评题目内容要求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每道题目必须包含题目答案解析，能够明确解释题目考核相关知识点。</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测评需要包括文字题、图片题及音频题三类。</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测评题目需要有完整的测评知识点体系作为依据。知识点体系至少包括三个层级，对知识点表述清晰、准确、全面。</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测评质量要求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整个测评系统需有专人监测系统运行情况。系统功能出现问题需在24小时内修复。系统内容出现问题需在24小时内修改或替换。</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测评题目每年更新数量需不低于200道。</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2.通识素养课程基本要求：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2.1</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课程体系要求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课程需具备以下门类：</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（1）根据《浙江省人民政府办公厅文件》“浙政办发[2016]38号”关于普通高校针对艺术类课程的要求，结合我校实际师资和开课情况，此次采购课程须包含以下这些艺术类课程：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中华诗词鉴赏、中国书法史鉴赏、古代名剧鉴赏、世界建筑鉴赏、西方美术鉴赏、音乐鉴赏、影视鉴赏、舞蹈鉴赏、美术鉴赏、戏曲鉴赏、口才艺术与社交礼仪等相关课程。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（2）通用能力类。以就业为导向，以能力为本位， 以职场生活为教学内容，以行为引导为教学方法，弥补专业教育模式带来的缺憾，提升中国大学生的综合就业力和职业适应力，帮助大学生更好地应对知识经济与信化社会所带来的挑战，实现成功就业。提供至少10门课程供学校选择如个人理财、形势与政策、军事理论、就业指导等相关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（3）成长基础类。以大学生的身心健康发展为导向，通过对安全意识、生理健康、心理健康、职业规划、公民素质等领域。 提供至少10门课程供学校选择，如大学生心理健康教育、、大学生职业生涯规划等相关课程。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创新创业类。紧扣国家政策，围绕提高大学生创新创业实战能力的目标，构建包括必修和选修、基础和进阶、理论与实战的创新创业课程体系。提供至少10门课程供学校选择，如大学生创业基础、创新创业课程等相关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2.2课程内容要求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（1）师资来源为985/211高校、中国科学院、中国社会科学院等国内外知名院校和科研机构。</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lang w:val="en-US" w:eastAsia="zh-CN"/>
              </w:rPr>
              <w:t>2</w:t>
            </w:r>
            <w:r>
              <w:rPr>
                <w:rFonts w:hint="eastAsia" w:ascii="宋体" w:hAnsi="宋体" w:cs="宋体"/>
                <w:bCs/>
                <w:color w:val="000000"/>
                <w:sz w:val="22"/>
                <w:szCs w:val="22"/>
                <w:highlight w:val="none"/>
              </w:rPr>
              <w:t>）课程必需高清拍摄，可在线以720P以上清晰度流畅播放；有完整清晰简体中文字幕（外语课程有清晰对应语种字幕），有独立字幕文件；视频中配备图片等多媒体素材帮助学生学习，每个视频文件平均时长约为15分钟，FLV或MP4格式。</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lang w:val="en-US" w:eastAsia="zh-CN"/>
              </w:rPr>
              <w:t>3</w:t>
            </w:r>
            <w:r>
              <w:rPr>
                <w:rFonts w:hint="eastAsia" w:ascii="宋体" w:hAnsi="宋体" w:cs="宋体"/>
                <w:bCs/>
                <w:color w:val="000000"/>
                <w:sz w:val="22"/>
                <w:szCs w:val="22"/>
                <w:highlight w:val="none"/>
              </w:rPr>
              <w:t>）每门课程需要配有完善的教学大纲，相关试题库（选择题、判断题、简答题），每门课程包含200道左右考题，试题每年更新一次；上述资源均可在网络上直接访问。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3.通识教育学习系统管理功能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3.1 学校教学管理功能要求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（1）提供学校专属站点和域名，支持定制的学校个性化课程网站，学生可通过个性化网站进行登录。</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（2）站点数据独立存储、独立维护，保障各学校站点之间互不冲突。所有数据实时备份，保障数据安全。</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（3）支持各站点更新维护，并保证更新维护不影响数据。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（4）实现统一用户授权和单点登录，支持直接用教务系统账号密码登录。</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设置管理员、教师、学生三个用户角色并赋予不同用户权限，管理员可以添加、编辑、锁定、删除二级管理员、教师和学生账号；教师可以在课程下添加和删除学生，不影响后台数据；管理员可以模拟教师和学生登录。</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（6）支持在教务系统选课再将选课数据导入平台。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（7）支持学生选课前试听课程。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（8）支持学生数据的统一导入与成绩统一导出，提供数据模板。</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（9）学生考核包含视频、作业、考试、在线时间、扩展阅读多个维度，需能根据学校需要统一设置，也能根据不同课程分别设置。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10）平台支持对教师及学生的行为进行记录与分析，包括学生使用各模块学习的时间分配、学习次数，学生在学习教学资料、参与辅助教学的情况汇总，提供教师工作行为分析，包括教师使用各模块教学的时间分配、教学次数。</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（11）采用多种手段对某一课程的教学效果进行在线实时统计，对班级成绩进行统计分析，对教师学生行为进行统计分析，支持表单和图表样式显示结果，可以导出统计结果。</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（12）支持课程评价与问卷功能。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（13）管理员可在后台设置相应的开课审核机制，根据实际情况选择开课管理，可选择手动审批可或自动审批。</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3.2 学生在线学习要求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（1）课程需支持闯关式教学，学生必须在完成当前任务后才可进入下一环节。系统还需支持一键式取消闯关模式，在取消闯关模式后学生可自由进行学习。</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（2）闯关模式中的学习任务应至少支持视频、作业、阅读三种类型。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学生在线学习课程时需支持进度记忆，支持防止快进、防止跳集观看，支持当前活动窗口探测，防止观看课程时进行其他活动。系统还可取消防快进、防跳集、当前窗口探测功能。支持长时间无活动自动停止播放。</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（4）支持课程视频中插入考题，学生必需回答正确才可继续观看。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（5）支持在线考试功能。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（6）支持学生在线进行讨论、答疑与寻求客服帮助。</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4.3 教师教学管理功能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（1）教师可发布各种通知，通知实时推送到学生的各个终端；系统自动反馈通知阅读情况，教师可在线查看。</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（2）需灵活支持选课学生增删改操作。</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（3）教师可设置课程的发布模式，包括闯关教学模式与自由学习模式，还可选择一次性发布学习任务和分批自动发布学习任务。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（4）教师可以选择部分文档进行分享，作为参考资料。</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（5）除了平台自带题库外，需支持教师自己出题，进行发布考核，并纳入考核方案，所有习题自动生成题库，支持题库批量上传和下载。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（6）教师可在线出卷并发布考试，支持线上试卷导出打印。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（7）支持客观题在线批阅。</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（8）支持根据考核标准进行成绩自动统计。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（9）教学结束后支持课程归档。</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（10）支持教师在线查看数据统计，包括课程信息总览、每名学生学习详情、课程访问曲线、各项进度和成绩，支持成绩导出和线下成绩导入。</w:t>
            </w:r>
          </w:p>
          <w:p>
            <w:pPr>
              <w:spacing w:line="460" w:lineRule="exact"/>
              <w:ind w:left="420" w:leftChars="200"/>
              <w:rPr>
                <w:rFonts w:hint="eastAsia" w:eastAsia="宋体"/>
                <w:highlight w:val="none"/>
                <w:lang w:eastAsia="zh-CN"/>
              </w:rPr>
            </w:pPr>
            <w:r>
              <w:rPr>
                <w:rFonts w:hint="eastAsia" w:ascii="宋体" w:hAnsi="宋体"/>
                <w:spacing w:val="-6"/>
                <w:szCs w:val="21"/>
                <w:highlight w:val="none"/>
              </w:rPr>
              <w:t>*</w:t>
            </w:r>
            <w:r>
              <w:rPr>
                <w:rFonts w:hint="eastAsia" w:ascii="宋体" w:hAnsi="宋体" w:cs="宋体"/>
                <w:bCs/>
                <w:color w:val="000000"/>
                <w:sz w:val="22"/>
                <w:szCs w:val="22"/>
                <w:highlight w:val="none"/>
              </w:rPr>
              <w:t>（11）支持自助式考试与机房统一考试，机房统一考试提供客户端系统，并提供成功实施机房统一考试案例，不少于三家。</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3.4课程运行服务要求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（1）支持云服务、混合部署、本地化部署等多种部署方式，确保视频访问时提供校园网与公网切换服务，平台远程访问、视频数据本地安装、公网访问。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（2）供应商需提供软件系统更新维护服务。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（3）供应商提供教学和教务全程服务，包括开课/结课的所有对接服务，须在学校指定时间内将学生信息导入，学生成绩以及不良记录等相关数据于学生完成学习后4个工作日内导出并发给学校等。</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具备有效的防刷课管理机制，能及时、准确判断学生刷课行为，并能反馈相应信息给管理员、教师和学生，并在学习和课程考核环节上有相应控制流程。提供学生学习进度监控、课程访问统计分析、学习诚信监控，可根据学校需求随时提供教学运行数据、不诚信学习名单以及根据学校要求提供不诚信学习详情报告。</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（5）结课后提供针对学校的课程运行报告，并需提供省内三所学校的课程使用报告。</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（6）提供在线客服、电话客服、邮箱客服解决学生、管理员、辅导老师使用问题；学生学习的导学、督学（短信、电话、邮件）服务。供应商建立本校QQ、微信群等，进行学生日常学习督促和事务回复处理。</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（7）应在学校所属省（市、自治区）建设有本地化服务团队。</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（8）学习进程中对学习情况进行问卷调查分析，了解学生感受和意见。</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（9）供应商应提供上门用户培训服务，且时间、地点、规模有学校制定，每学年培训不少于2次；供应商应免费提供操作手册、培训课程和视频等参考资料。</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4.课程运行报告服务要求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4.1课程运行报告制作要求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每学期结课后提供针对学校的课程运行报告，分春、秋两学期单独制作；</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根据学校需求，提供电子版报告和纸质版报告；</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提供全省/全国对比情况；</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每学期对报告形式、内容进行有针对性的更新；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每学期对选课学生进行在线问卷调查并对问卷数据进行多维度分析。</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4.2课程运行报告内容要求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报告分为总概、课程运行模式说明、课程运行情况分析、线下活动、反馈与建议等5个板块。</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4.2.1总概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介绍本学期学校选修课程的总体情况，包含以下8项数据：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用户数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课程修读人次累计总数;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总课程数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下学期预期上线新课数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本学期学校开设课程数</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本学期学校选修总人次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本学期学校总体通过率</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本学期学校总体优秀率</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4.2.2课程运行模式说明</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包括学校课程运行模式总体说明、学习站点介绍及教学安排时间表3个部分。</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课程运行模式总体说明：包括选课模式/学习方式/学习计划/学习内容/作业考试等5个部分的说明；</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学习站点介绍：包括PC端和手机端2 种类型学习站点；</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教学安排时间表：包括课程学习及课程考试时间安排。</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4.2.3 课程运行情况分析</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包含学生选课情况、学生考核情况、学习过程数据追踪分析等3个课程运行情况分析板块。</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学生选课情况：包含各院系学生选课情况数据、学生选课模块分布情况数据2个方面；</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学生考核情况：包含学生考核成绩统计、课程平均考核成绩统计、各院系学生成绩情况统计等3个方面；</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学习过程数据追踪分析：包含学习访问情况分析、学习讨论情况分析、在线课程完成情况分析、在线答疑情况分析等4个维度。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4.2.4  线下活动</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 xml:space="preserve">    介绍本学期由协助学校开展的通识教育教学活动、“名师进校园”活动、学生/教师培训等3个方面的信息。</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5.通识教育学习问卷调查系统</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 xml:space="preserve">     结课后通过在线问卷调查形式收集选课学生对课程、师资和平台的客观评价。问卷发放形式：手机端、网页端 2种形式。单份调查问卷题目不少于30道，其中至少包含1道主观题。 内容需包括对课程总体评价、课程和视频制作评价、师资评价、平台评价及建议和意见等。</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针对问卷数据从以下 5 个方面进行具体分析：</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总体评价</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包含课程满意度、课程推荐率、课程收获情况等3个维度。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课程设计与制作评价</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包含课程设计评价、视频制作评价等2个维度。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师资评价</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包含学术水平、讲解能力、表现力、内容启发性等4个维度。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测验和考核评价</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包含测验与试题对学习效果的检测、测验与试题知识点覆盖情况、测验与试题数量设置、测验与试题难度设置等4个维度。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平台评价</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包含平台稳定度、平台运行具体情况等2个维度。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w:t>
            </w:r>
            <w:r>
              <w:rPr>
                <w:rFonts w:hint="eastAsia" w:ascii="宋体" w:hAnsi="宋体" w:cs="宋体"/>
                <w:bCs/>
                <w:color w:val="000000"/>
                <w:sz w:val="22"/>
                <w:szCs w:val="22"/>
                <w:highlight w:val="none"/>
              </w:rPr>
              <w:tab/>
            </w:r>
            <w:r>
              <w:rPr>
                <w:rFonts w:hint="eastAsia" w:ascii="宋体" w:hAnsi="宋体" w:cs="宋体"/>
                <w:bCs/>
                <w:color w:val="000000"/>
                <w:sz w:val="22"/>
                <w:szCs w:val="22"/>
                <w:highlight w:val="none"/>
              </w:rPr>
              <w:t>反馈与建议</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 xml:space="preserve">    根据课程运行数据分析和学生调查问卷数据分析，针对学校在课程运行和管理过程中可能存在的问题，提出有针对性的参考意见。</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6．移动教学</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（1）支持iOS和Android两个系统，移动端是配套的app，无缝对接平台。支持手机和平板电脑等设备，实现在线移动学习、讨论、答疑、交互等功能。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（2）移动端与PC端学习进度、学习数据保持同步，教师可以对课程和学生进行统一管理。</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（3）支持手机直播功能，学生可以通过移动端参加网络课程在线直播，并且可以在观看直播的同时，参与教学互动。</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（4）支持在线学习及过程监控，防止拖拽，防止跳集。</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（5）支持在线完成作业、讨论、答疑、考试等操作。</w:t>
            </w:r>
          </w:p>
          <w:p>
            <w:pPr>
              <w:spacing w:line="460" w:lineRule="exact"/>
              <w:ind w:left="420" w:leftChars="200"/>
              <w:rPr>
                <w:rFonts w:hint="eastAsia" w:ascii="宋体" w:hAnsi="宋体" w:cs="宋体"/>
                <w:bCs/>
                <w:color w:val="000000"/>
                <w:sz w:val="22"/>
                <w:szCs w:val="22"/>
                <w:highlight w:val="none"/>
              </w:rPr>
            </w:pPr>
            <w:r>
              <w:rPr>
                <w:rFonts w:hint="eastAsia" w:ascii="宋体" w:hAnsi="宋体"/>
                <w:spacing w:val="-6"/>
                <w:szCs w:val="21"/>
                <w:highlight w:val="none"/>
              </w:rPr>
              <w:t>*</w:t>
            </w:r>
            <w:r>
              <w:rPr>
                <w:rFonts w:hint="eastAsia" w:ascii="宋体" w:hAnsi="宋体" w:cs="宋体"/>
                <w:bCs/>
                <w:color w:val="000000"/>
                <w:sz w:val="22"/>
                <w:szCs w:val="22"/>
                <w:highlight w:val="none"/>
              </w:rPr>
              <w:t>（6）支持在线阅读相关电子书，同步记录学生的阅读进度，并将阅读计入到考核当中。</w:t>
            </w:r>
          </w:p>
          <w:p>
            <w:pPr>
              <w:spacing w:line="460" w:lineRule="exact"/>
              <w:ind w:left="420" w:leftChars="200"/>
              <w:rPr>
                <w:rFonts w:hint="eastAsia" w:ascii="宋体" w:hAnsi="宋体" w:eastAsia="仿宋_GB2312" w:cs="宋体"/>
                <w:bCs/>
                <w:color w:val="000000"/>
                <w:sz w:val="22"/>
                <w:szCs w:val="22"/>
                <w:highlight w:val="none"/>
                <w:lang w:val="en-US" w:eastAsia="zh-CN"/>
              </w:rPr>
            </w:pPr>
            <w:r>
              <w:rPr>
                <w:rFonts w:hint="eastAsia" w:ascii="宋体" w:hAnsi="宋体"/>
                <w:spacing w:val="-6"/>
                <w:szCs w:val="21"/>
                <w:highlight w:val="none"/>
              </w:rPr>
              <w:t>*</w:t>
            </w:r>
            <w:r>
              <w:rPr>
                <w:rFonts w:hint="eastAsia" w:ascii="宋体" w:hAnsi="宋体" w:cs="宋体"/>
                <w:bCs/>
                <w:color w:val="000000"/>
                <w:sz w:val="22"/>
                <w:szCs w:val="22"/>
                <w:highlight w:val="none"/>
              </w:rPr>
              <w:t>（7）支持混合式教学，支持课堂互动</w:t>
            </w:r>
            <w:r>
              <w:rPr>
                <w:rFonts w:hint="eastAsia" w:ascii="宋体" w:hAnsi="宋体" w:cs="宋体"/>
                <w:bCs/>
                <w:color w:val="000000"/>
                <w:sz w:val="22"/>
                <w:szCs w:val="22"/>
                <w:highlight w:val="none"/>
                <w:lang w:eastAsia="zh-CN"/>
              </w:rPr>
              <w:t>，</w:t>
            </w:r>
            <w:r>
              <w:rPr>
                <w:rFonts w:hint="eastAsia" w:ascii="宋体" w:hAnsi="宋体" w:cs="宋体"/>
                <w:bCs/>
                <w:color w:val="000000"/>
                <w:sz w:val="22"/>
                <w:szCs w:val="22"/>
                <w:highlight w:val="none"/>
              </w:rPr>
              <w:t>支持发布ppt投屏、签到、投票、选人、问卷调查、视频学习、班级群聊、云盘资源调取、互动讨论等课堂教学工具。</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（8）包含个人移动学习评价系统，根据使用量、笔记量、订阅量、阅读量等进行排名、评级，从而激励学习行为。</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（9）支持手机端统一考试功能。</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7.技术服务要求</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 提供开课/结课的所有对接服务：学生信息、学习成绩及学分的导入/导出服务；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 提供学生学习进度监控、课程访问统计分析服务；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（3） 提供在线客服解决学生、管理员、辅导老师使用问题；学生学习的导学、督学（短信、电话、邮件、QQ群、微信群）服务；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（4）提供辅导教师工作情况、工作量监控分析服务；</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（5）提供平台监控、系统维护服务；</w:t>
            </w:r>
            <w:bookmarkEnd w:id="7"/>
            <w:bookmarkEnd w:id="8"/>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（6）系统所有的数据导出功能以及统计分析功能都能提供数据库视图供招标方实时读取。</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8.惩罚条款</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w:t>
            </w:r>
            <w:r>
              <w:rPr>
                <w:rFonts w:hint="eastAsia" w:ascii="宋体" w:hAnsi="宋体" w:cs="宋体"/>
                <w:bCs/>
                <w:color w:val="000000"/>
                <w:sz w:val="22"/>
                <w:szCs w:val="22"/>
                <w:highlight w:val="none"/>
                <w:lang w:eastAsia="zh-CN"/>
              </w:rPr>
              <w:t>履约保证金</w:t>
            </w:r>
            <w:r>
              <w:rPr>
                <w:rFonts w:hint="eastAsia" w:ascii="宋体" w:hAnsi="宋体" w:cs="宋体"/>
                <w:bCs/>
                <w:color w:val="000000"/>
                <w:sz w:val="22"/>
                <w:szCs w:val="22"/>
                <w:highlight w:val="none"/>
              </w:rPr>
              <w:t>要求：因乙方原因导致课程成绩错误，甲方有权扣除</w:t>
            </w:r>
            <w:r>
              <w:rPr>
                <w:rFonts w:hint="eastAsia" w:ascii="宋体" w:hAnsi="宋体" w:cs="宋体"/>
                <w:bCs/>
                <w:color w:val="000000"/>
                <w:sz w:val="22"/>
                <w:szCs w:val="22"/>
                <w:highlight w:val="none"/>
                <w:lang w:eastAsia="zh-CN"/>
              </w:rPr>
              <w:t>履约保证金</w:t>
            </w:r>
            <w:r>
              <w:rPr>
                <w:rFonts w:hint="eastAsia" w:ascii="宋体" w:hAnsi="宋体" w:cs="宋体"/>
                <w:bCs/>
                <w:color w:val="000000"/>
                <w:sz w:val="22"/>
                <w:szCs w:val="22"/>
                <w:highlight w:val="none"/>
              </w:rPr>
              <w:t>。乙方未按学校要求进行课程学习设置，甲方有权扣除</w:t>
            </w:r>
            <w:r>
              <w:rPr>
                <w:rFonts w:hint="eastAsia" w:ascii="宋体" w:hAnsi="宋体" w:cs="宋体"/>
                <w:bCs/>
                <w:color w:val="000000"/>
                <w:sz w:val="22"/>
                <w:szCs w:val="22"/>
                <w:highlight w:val="none"/>
                <w:lang w:eastAsia="zh-CN"/>
              </w:rPr>
              <w:t>履约保证金</w:t>
            </w:r>
            <w:r>
              <w:rPr>
                <w:rFonts w:hint="eastAsia" w:ascii="宋体" w:hAnsi="宋体" w:cs="宋体"/>
                <w:bCs/>
                <w:color w:val="000000"/>
                <w:sz w:val="22"/>
                <w:szCs w:val="22"/>
                <w:highlight w:val="none"/>
              </w:rPr>
              <w:t>。</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（2）甲方（使用部门）每学期对乙方进行考核，如发现以下情况，将对乙方处以罚金：</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（a）在合同有效期内，因乙方原因导致课程成绩错误，且错误率（错误率=成绩错误人次/选课总人数*100%）达1%，乙方应向甲方偿付罚金，罚金按错误率每1%按合同总价的5%计算，罚金不超过合同总额的20%。</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（b）在合同有效期内，乙方未按学校要求进行课程学习设置，并导致学生成绩错误达100人次，乙方应向甲方偿付罚金，罚金按每100人次按合同总价的1%计算，罚金不超过合同总额的30%。</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9.支付罚金</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（1）甲方有权从合同价款中扣除罚金，且乙方应在接到罚金通知后一周内给予确认。</w:t>
            </w:r>
          </w:p>
          <w:p>
            <w:pPr>
              <w:spacing w:line="460" w:lineRule="exact"/>
              <w:ind w:left="420" w:leftChars="200"/>
              <w:rPr>
                <w:rFonts w:hint="eastAsia" w:ascii="宋体" w:hAnsi="宋体" w:cs="宋体"/>
                <w:bCs/>
                <w:color w:val="000000"/>
                <w:sz w:val="22"/>
                <w:szCs w:val="22"/>
                <w:highlight w:val="none"/>
              </w:rPr>
            </w:pPr>
            <w:r>
              <w:rPr>
                <w:rFonts w:hint="eastAsia" w:ascii="宋体" w:hAnsi="宋体" w:cs="宋体"/>
                <w:bCs/>
                <w:color w:val="000000"/>
                <w:sz w:val="22"/>
                <w:szCs w:val="22"/>
                <w:highlight w:val="none"/>
              </w:rPr>
              <w:t>（2）甲方发生中途终止合同，应向乙方偿付违约金，违约金按合同价款5%计算。</w:t>
            </w:r>
          </w:p>
          <w:p>
            <w:pPr>
              <w:spacing w:line="360" w:lineRule="auto"/>
              <w:jc w:val="left"/>
              <w:rPr>
                <w:rFonts w:ascii="宋体" w:hAnsi="宋体"/>
                <w:color w:val="000000"/>
                <w:sz w:val="24"/>
                <w:highlight w:val="none"/>
              </w:rPr>
            </w:pPr>
          </w:p>
          <w:p>
            <w:pPr>
              <w:pStyle w:val="5"/>
              <w:rPr>
                <w:rFonts w:hint="eastAsia" w:ascii="宋体" w:hAnsi="宋体" w:cs="宋体"/>
                <w:b/>
                <w:bCs/>
                <w:color w:val="auto"/>
                <w:spacing w:val="-6"/>
                <w:sz w:val="22"/>
                <w:szCs w:val="22"/>
                <w:highlight w:val="none"/>
                <w:vertAlign w:val="baseline"/>
              </w:rPr>
            </w:pPr>
          </w:p>
        </w:tc>
      </w:tr>
    </w:tbl>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7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keepLines/>
      <w:spacing w:before="260" w:after="260" w:line="408" w:lineRule="auto"/>
      <w:outlineLvl w:val="1"/>
    </w:pPr>
    <w:rPr>
      <w:rFonts w:ascii="Arial" w:hAnsi="Arial" w:eastAsia="黑体"/>
      <w:sz w:val="28"/>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lock Text"/>
    <w:basedOn w:val="1"/>
    <w:uiPriority w:val="0"/>
    <w:pPr>
      <w:adjustRightInd w:val="0"/>
      <w:spacing w:line="300" w:lineRule="auto"/>
      <w:ind w:left="958" w:rightChars="-120"/>
      <w:jc w:val="left"/>
    </w:pPr>
    <w:rPr>
      <w:rFonts w:ascii="宋体" w:hAnsi="宋体"/>
      <w:sz w:val="28"/>
    </w:rPr>
  </w:style>
  <w:style w:type="paragraph" w:styleId="4">
    <w:name w:val="Body Text Indent"/>
    <w:basedOn w:val="1"/>
    <w:uiPriority w:val="0"/>
    <w:pPr>
      <w:adjustRightInd w:val="0"/>
      <w:spacing w:line="360" w:lineRule="auto"/>
      <w:ind w:firstLine="490"/>
      <w:jc w:val="left"/>
    </w:pPr>
    <w:rPr>
      <w:rFonts w:ascii="宋体" w:hAnsi="宋体"/>
      <w:sz w:val="24"/>
    </w:rPr>
  </w:style>
  <w:style w:type="paragraph" w:styleId="5">
    <w:name w:val="Body Text First Indent 2"/>
    <w:basedOn w:val="4"/>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2020-11-16T08:09:17Z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