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cs="宋体"/>
          <w:b/>
          <w:bCs/>
          <w:sz w:val="24"/>
          <w:szCs w:val="24"/>
          <w:highlight w:val="none"/>
        </w:rPr>
      </w:pPr>
      <w:r>
        <w:rPr>
          <w:rFonts w:hint="eastAsia" w:ascii="宋体" w:hAnsi="宋体" w:cs="宋体"/>
          <w:b/>
          <w:bCs/>
          <w:sz w:val="24"/>
          <w:szCs w:val="24"/>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5"/>
        <w:tblW w:w="0" w:type="auto"/>
        <w:jc w:val="center"/>
        <w:tblLayout w:type="fixed"/>
        <w:tblCellMar>
          <w:top w:w="0" w:type="dxa"/>
          <w:left w:w="108" w:type="dxa"/>
          <w:bottom w:w="0" w:type="dxa"/>
          <w:right w:w="108" w:type="dxa"/>
        </w:tblCellMar>
      </w:tblPr>
      <w:tblGrid>
        <w:gridCol w:w="1038"/>
        <w:gridCol w:w="3059"/>
        <w:gridCol w:w="1701"/>
        <w:gridCol w:w="1843"/>
        <w:gridCol w:w="168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31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hAnsi="宋体" w:cs="宋体"/>
                <w:sz w:val="22"/>
                <w:szCs w:val="22"/>
                <w:highlight w:val="none"/>
              </w:rPr>
              <w:t>硬盘还原卡</w:t>
            </w:r>
            <w:r>
              <w:rPr>
                <w:rFonts w:hint="eastAsia" w:ascii="宋体" w:hAnsi="宋体" w:cs="宋体"/>
                <w:sz w:val="22"/>
                <w:szCs w:val="22"/>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1批</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303070</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kern w:val="0"/>
                <w:sz w:val="22"/>
                <w:szCs w:val="22"/>
                <w:highlight w:val="none"/>
              </w:rPr>
              <w:t xml:space="preserve"> </w:t>
            </w:r>
          </w:p>
        </w:tc>
      </w:tr>
    </w:tbl>
    <w:p>
      <w:pPr>
        <w:pStyle w:val="4"/>
        <w:ind w:right="-252"/>
        <w:rPr>
          <w:rFonts w:hint="eastAsia"/>
          <w:highlight w:val="none"/>
        </w:rPr>
      </w:pPr>
    </w:p>
    <w:p>
      <w:pPr>
        <w:snapToGrid w:val="0"/>
        <w:spacing w:line="360" w:lineRule="exact"/>
        <w:outlineLvl w:val="0"/>
        <w:rPr>
          <w:rFonts w:hint="eastAsia" w:ascii="宋体" w:hAnsi="宋体" w:cs="宋体"/>
          <w:b/>
          <w:spacing w:val="-6"/>
          <w:sz w:val="22"/>
          <w:szCs w:val="22"/>
          <w:highlight w:val="none"/>
        </w:rPr>
      </w:pPr>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z w:val="22"/>
                <w:szCs w:val="22"/>
                <w:highlight w:val="none"/>
              </w:rPr>
            </w:pPr>
            <w:r>
              <w:rPr>
                <w:rFonts w:hint="eastAsia" w:ascii="宋体" w:hAnsi="宋体" w:cs="宋体"/>
                <w:kern w:val="0"/>
                <w:sz w:val="22"/>
                <w:szCs w:val="22"/>
                <w:highlight w:val="none"/>
                <w:u w:val="single"/>
              </w:rPr>
              <w:t>▲</w:t>
            </w:r>
            <w:r>
              <w:rPr>
                <w:rFonts w:hint="eastAsia" w:ascii="宋体" w:hAnsi="宋体" w:cs="宋体"/>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highlight w:val="none"/>
              </w:rPr>
            </w:pPr>
            <w:r>
              <w:rPr>
                <w:rFonts w:hint="eastAsia" w:ascii="宋体" w:hAnsi="宋体" w:cs="宋体"/>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增值税专用发票）；履约保证金自验收合格之日，一年后无质量问题，资产管理处收到使用部门填写的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highlight w:val="none"/>
              </w:rPr>
            </w:pPr>
            <w:r>
              <w:rPr>
                <w:rFonts w:hint="eastAsia" w:ascii="宋体" w:hAnsi="宋体" w:cs="宋体"/>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highlight w:val="none"/>
              </w:rPr>
            </w:pPr>
            <w:r>
              <w:rPr>
                <w:rFonts w:hint="eastAsia" w:ascii="宋体" w:hAnsi="宋体" w:cs="宋体"/>
                <w:sz w:val="22"/>
                <w:szCs w:val="22"/>
                <w:highlight w:val="none"/>
              </w:rPr>
              <w:t>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z w:val="22"/>
                <w:szCs w:val="22"/>
                <w:highlight w:val="none"/>
              </w:rPr>
            </w:pPr>
            <w:r>
              <w:rPr>
                <w:rFonts w:hint="eastAsia" w:ascii="宋体" w:hAnsi="宋体" w:cs="宋体"/>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kern w:val="0"/>
                <w:sz w:val="22"/>
                <w:highlight w:val="none"/>
              </w:rPr>
            </w:pPr>
            <w:r>
              <w:rPr>
                <w:rFonts w:hint="eastAsia" w:ascii="宋体" w:hAnsi="宋体" w:cs="宋体"/>
                <w:bCs/>
                <w:kern w:val="0"/>
                <w:sz w:val="22"/>
                <w:highlight w:val="none"/>
              </w:rPr>
              <w:t>成交通知发出后</w:t>
            </w:r>
            <w:r>
              <w:rPr>
                <w:rFonts w:hint="eastAsia" w:ascii="宋体" w:hAnsi="宋体" w:cs="宋体"/>
                <w:bCs/>
                <w:color w:val="0000FF"/>
                <w:kern w:val="0"/>
                <w:sz w:val="22"/>
                <w:highlight w:val="none"/>
                <w:lang w:val="en-US" w:eastAsia="zh-CN"/>
              </w:rPr>
              <w:t>15</w:t>
            </w:r>
            <w:r>
              <w:rPr>
                <w:rFonts w:hint="eastAsia" w:ascii="宋体" w:hAnsi="宋体" w:cs="宋体"/>
                <w:bCs/>
                <w:kern w:val="0"/>
                <w:sz w:val="22"/>
                <w:highlight w:val="none"/>
              </w:rPr>
              <w:t>个工作日内送至指定地点。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z w:val="22"/>
                <w:szCs w:val="22"/>
                <w:highlight w:val="none"/>
              </w:rPr>
            </w:pPr>
            <w:r>
              <w:rPr>
                <w:rFonts w:hint="eastAsia" w:ascii="宋体" w:hAnsi="宋体" w:cs="宋体"/>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kern w:val="0"/>
                <w:sz w:val="22"/>
                <w:highlight w:val="none"/>
              </w:rPr>
            </w:pPr>
            <w:r>
              <w:rPr>
                <w:rFonts w:hint="eastAsia" w:ascii="宋体" w:hAnsi="宋体" w:cs="宋体"/>
                <w:sz w:val="22"/>
                <w:szCs w:val="22"/>
                <w:highlight w:val="none"/>
              </w:rPr>
              <w:t>温州职业技术学院指定地点。</w:t>
            </w:r>
          </w:p>
        </w:tc>
      </w:tr>
    </w:tbl>
    <w:p>
      <w:pPr>
        <w:numPr>
          <w:ilvl w:val="0"/>
          <w:numId w:val="1"/>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054"/>
        <w:gridCol w:w="570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pPr>
              <w:jc w:val="left"/>
              <w:rPr>
                <w:rFonts w:hint="eastAsia" w:ascii="宋体" w:hAnsi="宋体" w:cs="宋体"/>
                <w:b/>
                <w:sz w:val="22"/>
                <w:szCs w:val="22"/>
                <w:highlight w:val="none"/>
              </w:rPr>
            </w:pPr>
            <w:r>
              <w:rPr>
                <w:rFonts w:hint="eastAsia" w:ascii="宋体" w:hAnsi="宋体" w:cs="宋体"/>
                <w:b/>
                <w:sz w:val="22"/>
                <w:szCs w:val="22"/>
                <w:highlight w:val="none"/>
              </w:rPr>
              <w:t>序号</w:t>
            </w:r>
          </w:p>
        </w:tc>
        <w:tc>
          <w:tcPr>
            <w:tcW w:w="1164" w:type="dxa"/>
            <w:noWrap w:val="0"/>
            <w:vAlign w:val="top"/>
          </w:tcPr>
          <w:p>
            <w:pPr>
              <w:jc w:val="left"/>
              <w:rPr>
                <w:rFonts w:hint="eastAsia" w:ascii="宋体" w:hAnsi="宋体" w:cs="宋体"/>
                <w:b/>
                <w:sz w:val="22"/>
                <w:szCs w:val="22"/>
                <w:highlight w:val="none"/>
              </w:rPr>
            </w:pPr>
            <w:r>
              <w:rPr>
                <w:rFonts w:hint="eastAsia" w:ascii="宋体" w:hAnsi="宋体" w:cs="宋体"/>
                <w:b/>
                <w:sz w:val="22"/>
                <w:szCs w:val="22"/>
                <w:highlight w:val="none"/>
              </w:rPr>
              <w:t>名称</w:t>
            </w:r>
          </w:p>
        </w:tc>
        <w:tc>
          <w:tcPr>
            <w:tcW w:w="6503" w:type="dxa"/>
            <w:noWrap w:val="0"/>
            <w:vAlign w:val="top"/>
          </w:tcPr>
          <w:p>
            <w:pPr>
              <w:jc w:val="left"/>
              <w:rPr>
                <w:rFonts w:hint="eastAsia" w:ascii="宋体" w:hAnsi="宋体" w:cs="宋体"/>
                <w:b/>
                <w:sz w:val="22"/>
                <w:szCs w:val="22"/>
                <w:highlight w:val="none"/>
              </w:rPr>
            </w:pPr>
            <w:r>
              <w:rPr>
                <w:rFonts w:hint="eastAsia" w:ascii="宋体" w:hAnsi="宋体" w:cs="宋体"/>
                <w:b/>
                <w:sz w:val="22"/>
                <w:szCs w:val="22"/>
                <w:highlight w:val="none"/>
              </w:rPr>
              <w:t>参数</w:t>
            </w:r>
          </w:p>
        </w:tc>
        <w:tc>
          <w:tcPr>
            <w:tcW w:w="1072" w:type="dxa"/>
            <w:noWrap w:val="0"/>
            <w:vAlign w:val="top"/>
          </w:tcPr>
          <w:p>
            <w:pPr>
              <w:jc w:val="left"/>
              <w:rPr>
                <w:rFonts w:hint="eastAsia" w:ascii="宋体" w:hAnsi="宋体" w:cs="宋体"/>
                <w:b/>
                <w:sz w:val="22"/>
                <w:szCs w:val="22"/>
                <w:highlight w:val="none"/>
              </w:rPr>
            </w:pPr>
            <w:r>
              <w:rPr>
                <w:rFonts w:hint="eastAsia" w:ascii="宋体" w:hAnsi="宋体" w:cs="宋体"/>
                <w:b/>
                <w:sz w:val="22"/>
                <w:szCs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33"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1</w:t>
            </w:r>
          </w:p>
        </w:tc>
        <w:tc>
          <w:tcPr>
            <w:tcW w:w="1164"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固态硬盘</w:t>
            </w:r>
          </w:p>
        </w:tc>
        <w:tc>
          <w:tcPr>
            <w:tcW w:w="6503"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1、2.5英寸、安装支架</w:t>
            </w:r>
          </w:p>
          <w:p>
            <w:pPr>
              <w:numPr>
                <w:ilvl w:val="0"/>
                <w:numId w:val="2"/>
              </w:numPr>
              <w:jc w:val="left"/>
              <w:rPr>
                <w:rFonts w:hint="eastAsia" w:ascii="宋体" w:hAnsi="宋体" w:cs="宋体"/>
                <w:sz w:val="22"/>
                <w:szCs w:val="22"/>
                <w:highlight w:val="none"/>
                <w:u w:val="single"/>
              </w:rPr>
            </w:pPr>
            <w:r>
              <w:rPr>
                <w:rFonts w:hint="eastAsia" w:ascii="宋体" w:hAnsi="宋体" w:cs="宋体"/>
                <w:sz w:val="22"/>
                <w:szCs w:val="22"/>
                <w:highlight w:val="none"/>
                <w:u w:val="single"/>
              </w:rPr>
              <w:t>▲连续读≥550MB/S、连续写≥520MB/S，缓存≥1GB</w:t>
            </w:r>
          </w:p>
          <w:p>
            <w:pPr>
              <w:jc w:val="left"/>
              <w:rPr>
                <w:rFonts w:hint="eastAsia" w:ascii="宋体" w:hAnsi="宋体" w:cs="宋体"/>
                <w:sz w:val="22"/>
                <w:szCs w:val="22"/>
                <w:highlight w:val="none"/>
              </w:rPr>
            </w:pPr>
            <w:r>
              <w:rPr>
                <w:rFonts w:hint="eastAsia" w:ascii="宋体" w:hAnsi="宋体" w:cs="宋体"/>
                <w:bCs/>
                <w:color w:val="000000"/>
                <w:sz w:val="22"/>
                <w:szCs w:val="22"/>
                <w:highlight w:val="none"/>
                <w:u w:val="none"/>
              </w:rPr>
              <w:t>3、</w:t>
            </w:r>
            <w:r>
              <w:rPr>
                <w:rFonts w:hint="eastAsia" w:ascii="宋体" w:hAnsi="宋体" w:cs="宋体"/>
                <w:sz w:val="22"/>
                <w:szCs w:val="22"/>
                <w:highlight w:val="none"/>
                <w:u w:val="single"/>
              </w:rPr>
              <w:t>▲闪存类型非QLC，最低写入量不得低于600TBW</w:t>
            </w:r>
          </w:p>
        </w:tc>
        <w:tc>
          <w:tcPr>
            <w:tcW w:w="1072"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201个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33"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2</w:t>
            </w:r>
          </w:p>
        </w:tc>
        <w:tc>
          <w:tcPr>
            <w:tcW w:w="1164"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还原卡</w:t>
            </w:r>
          </w:p>
        </w:tc>
        <w:tc>
          <w:tcPr>
            <w:tcW w:w="6503" w:type="dxa"/>
            <w:noWrap w:val="0"/>
            <w:vAlign w:val="top"/>
          </w:tcPr>
          <w:p>
            <w:pPr>
              <w:rPr>
                <w:rFonts w:hint="eastAsia" w:ascii="宋体" w:hAnsi="宋体" w:cs="宋体"/>
                <w:bCs/>
                <w:color w:val="000000"/>
                <w:sz w:val="22"/>
                <w:szCs w:val="22"/>
                <w:highlight w:val="none"/>
                <w:u w:val="single"/>
              </w:rPr>
            </w:pPr>
            <w:r>
              <w:rPr>
                <w:rFonts w:hint="eastAsia" w:ascii="宋体" w:hAnsi="宋体" w:cs="宋体"/>
                <w:bCs/>
                <w:color w:val="000000"/>
                <w:sz w:val="22"/>
                <w:szCs w:val="22"/>
                <w:highlight w:val="none"/>
              </w:rPr>
              <w:t>1、</w:t>
            </w:r>
            <w:r>
              <w:rPr>
                <w:rFonts w:hint="eastAsia" w:ascii="宋体" w:hAnsi="宋体" w:cs="宋体"/>
                <w:sz w:val="22"/>
                <w:szCs w:val="22"/>
                <w:highlight w:val="none"/>
                <w:u w:val="single"/>
              </w:rPr>
              <w:t>▲</w:t>
            </w:r>
            <w:r>
              <w:rPr>
                <w:rFonts w:hint="eastAsia" w:ascii="宋体" w:hAnsi="宋体" w:cs="宋体"/>
                <w:bCs/>
                <w:color w:val="000000"/>
                <w:sz w:val="22"/>
                <w:szCs w:val="22"/>
                <w:highlight w:val="none"/>
                <w:u w:val="single"/>
              </w:rPr>
              <w:t>独立的硬件卡，采用PCI-E接口，速度最快为600MB/S。</w:t>
            </w:r>
          </w:p>
          <w:p>
            <w:pPr>
              <w:rPr>
                <w:rFonts w:hint="eastAsia" w:ascii="宋体" w:hAnsi="宋体" w:cs="宋体"/>
                <w:bCs/>
                <w:color w:val="000000"/>
                <w:sz w:val="22"/>
                <w:szCs w:val="22"/>
                <w:highlight w:val="none"/>
                <w:u w:val="single"/>
              </w:rPr>
            </w:pPr>
            <w:r>
              <w:rPr>
                <w:rFonts w:hint="eastAsia" w:ascii="宋体" w:hAnsi="宋体" w:cs="宋体"/>
                <w:bCs/>
                <w:color w:val="000000"/>
                <w:sz w:val="22"/>
                <w:szCs w:val="22"/>
                <w:highlight w:val="none"/>
                <w:u w:val="none"/>
              </w:rPr>
              <w:t>2、</w:t>
            </w:r>
            <w:r>
              <w:rPr>
                <w:rFonts w:hint="eastAsia" w:ascii="宋体" w:hAnsi="宋体" w:cs="宋体"/>
                <w:sz w:val="22"/>
                <w:szCs w:val="22"/>
                <w:highlight w:val="none"/>
                <w:u w:val="single"/>
              </w:rPr>
              <w:t>▲</w:t>
            </w:r>
            <w:r>
              <w:rPr>
                <w:rFonts w:hint="eastAsia" w:ascii="宋体" w:hAnsi="宋体" w:cs="宋体"/>
                <w:bCs/>
                <w:color w:val="000000"/>
                <w:sz w:val="22"/>
                <w:szCs w:val="22"/>
                <w:highlight w:val="none"/>
                <w:u w:val="single"/>
              </w:rPr>
              <w:t>硬卡带两个硬盘接口（一个M.2,一个SATA口），硬盘数据线与硬件卡直接相连，控制了硬盘读写，可以做到彻底保护硬盘数据，彻底防止病毒破坏。</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3、同时支持保护两块硬盘，并支持两块硬盘数据传输</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4、卡集成底层硬件驱动，无需安装底层驱动。</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5、网络拷贝速度快，千兆环境速度达每分钟6-7GB，百兆也能突破1GB，业界领先。</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6、支持多节点，多进度保护和传输</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7、支持跨网段的服务器系统下载和参数同步</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8、支持在同一硬盘上分区之间的拷贝，这样在同一个硬盘上安装多个同样操作系统的时候，只需要安装一个。</w:t>
            </w:r>
          </w:p>
          <w:p>
            <w:pPr>
              <w:jc w:val="left"/>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9、底层控制U盘和光盘的使用，防止病毒的带入</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10、支持大于2TB的硬盘</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11、单个操作系统可以设置操作密码。</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12、支自持动和手动修改IP地址，支持IPV6，满足网络升级的需要，针对不同的系统可以自动设置不同的IP地址，</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13、支持公用资料立即还原</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14、支持注册软件分发（针对需要单机注册的软件，只需在样机上注册后，网络拷贝过去不需逐台注册，立即可以使用）</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15、支持自动修改登录用户名</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16、支持软件背景图片的自定义设置</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17、支持中文开机选单设置</w:t>
            </w:r>
          </w:p>
          <w:p>
            <w:pPr>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18、开机选单支持系统软件名称的备注。</w:t>
            </w:r>
          </w:p>
          <w:p>
            <w:pPr>
              <w:rPr>
                <w:rFonts w:hint="eastAsia" w:ascii="宋体" w:hAnsi="宋体" w:cs="宋体"/>
                <w:sz w:val="22"/>
                <w:szCs w:val="22"/>
                <w:highlight w:val="none"/>
              </w:rPr>
            </w:pPr>
            <w:r>
              <w:rPr>
                <w:rFonts w:hint="eastAsia" w:ascii="宋体" w:hAnsi="宋体" w:cs="宋体"/>
                <w:bCs/>
                <w:color w:val="000000"/>
                <w:sz w:val="22"/>
                <w:szCs w:val="22"/>
                <w:highlight w:val="none"/>
              </w:rPr>
              <w:t>19、支持常用设置跨网段离线同步</w:t>
            </w:r>
          </w:p>
        </w:tc>
        <w:tc>
          <w:tcPr>
            <w:tcW w:w="1072"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201</w:t>
            </w:r>
            <w:r>
              <w:rPr>
                <w:rFonts w:hint="eastAsia"/>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33"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3</w:t>
            </w:r>
          </w:p>
        </w:tc>
        <w:tc>
          <w:tcPr>
            <w:tcW w:w="1164"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服务器硬盘</w:t>
            </w:r>
          </w:p>
        </w:tc>
        <w:tc>
          <w:tcPr>
            <w:tcW w:w="6503" w:type="dxa"/>
            <w:noWrap w:val="0"/>
            <w:vAlign w:val="top"/>
          </w:tcPr>
          <w:p>
            <w:pPr>
              <w:jc w:val="left"/>
              <w:rPr>
                <w:rFonts w:hint="eastAsia" w:ascii="宋体" w:hAnsi="宋体" w:cs="宋体"/>
                <w:sz w:val="22"/>
                <w:szCs w:val="22"/>
                <w:highlight w:val="none"/>
              </w:rPr>
            </w:pPr>
            <w:r>
              <w:rPr>
                <w:rFonts w:hint="eastAsia" w:ascii="宋体" w:hAnsi="宋体" w:cs="宋体"/>
                <w:sz w:val="22"/>
                <w:szCs w:val="22"/>
                <w:highlight w:val="none"/>
              </w:rPr>
              <w:t>企业级8T SATA 7200转及以上</w:t>
            </w:r>
          </w:p>
        </w:tc>
        <w:tc>
          <w:tcPr>
            <w:tcW w:w="1072" w:type="dxa"/>
            <w:noWrap w:val="0"/>
            <w:vAlign w:val="top"/>
          </w:tcPr>
          <w:p>
            <w:pPr>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4</w:t>
            </w:r>
            <w:r>
              <w:rPr>
                <w:rFonts w:hint="eastAsia" w:ascii="宋体" w:hAnsi="宋体" w:cs="宋体"/>
                <w:sz w:val="22"/>
                <w:szCs w:val="22"/>
                <w:highlight w:val="none"/>
                <w:lang w:eastAsia="zh-CN"/>
              </w:rPr>
              <w:t>个</w:t>
            </w:r>
          </w:p>
        </w:tc>
      </w:tr>
    </w:tbl>
    <w:p>
      <w:pPr>
        <w:pStyle w:val="2"/>
        <w:ind w:left="0" w:leftChars="0" w:firstLine="0" w:firstLineChars="0"/>
        <w:rPr>
          <w:rFonts w:hint="eastAsia" w:ascii="宋体" w:hAnsi="宋体" w:cs="宋体"/>
          <w:b/>
          <w:bCs/>
          <w:spacing w:val="-6"/>
          <w:sz w:val="22"/>
          <w:szCs w:val="22"/>
          <w:highlight w:val="none"/>
        </w:rPr>
      </w:pPr>
    </w:p>
    <w:p>
      <w:pPr>
        <w:spacing w:line="360" w:lineRule="exact"/>
        <w:rPr>
          <w:rFonts w:hint="eastAsia" w:ascii="宋体" w:hAnsi="宋体" w:cs="宋体"/>
          <w:b/>
          <w:bCs/>
          <w:sz w:val="22"/>
          <w:szCs w:val="22"/>
          <w:highlight w:val="none"/>
        </w:rPr>
      </w:pPr>
      <w:r>
        <w:rPr>
          <w:rFonts w:hint="eastAsia" w:ascii="宋体" w:hAnsi="宋体" w:cs="宋体"/>
          <w:b/>
          <w:spacing w:val="-6"/>
          <w:sz w:val="22"/>
          <w:szCs w:val="22"/>
          <w:highlight w:val="none"/>
        </w:rPr>
        <w:t>四、其他</w:t>
      </w:r>
    </w:p>
    <w:p>
      <w:pPr>
        <w:spacing w:line="360" w:lineRule="exact"/>
        <w:ind w:firstLine="418" w:firstLineChars="200"/>
        <w:rPr>
          <w:rFonts w:hint="eastAsia" w:ascii="宋体" w:hAnsi="宋体" w:cs="宋体"/>
          <w:b/>
          <w:spacing w:val="-6"/>
          <w:sz w:val="22"/>
          <w:szCs w:val="22"/>
          <w:highlight w:val="none"/>
        </w:rPr>
      </w:pPr>
      <w:r>
        <w:rPr>
          <w:rFonts w:hint="eastAsia" w:ascii="宋体" w:hAnsi="宋体" w:cs="宋体"/>
          <w:b/>
          <w:spacing w:val="-6"/>
          <w:sz w:val="22"/>
          <w:szCs w:val="22"/>
          <w:highlight w:val="none"/>
        </w:rPr>
        <w:t>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spacing w:val="-6"/>
          <w:sz w:val="22"/>
          <w:szCs w:val="22"/>
          <w:highlight w:val="none"/>
        </w:rPr>
      </w:pPr>
      <w:r>
        <w:rPr>
          <w:rFonts w:hint="eastAsia" w:ascii="宋体" w:hAnsi="宋体" w:cs="宋体"/>
          <w:b/>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pStyle w:val="2"/>
        <w:ind w:firstLine="560"/>
        <w:rPr>
          <w:rFonts w:hint="eastAsia" w:ascii="宋体" w:hAnsi="宋体" w:cs="宋体"/>
          <w:highlight w:val="none"/>
        </w:rPr>
      </w:pPr>
    </w:p>
    <w:p>
      <w:pPr>
        <w:pStyle w:val="2"/>
        <w:ind w:firstLine="560"/>
        <w:rPr>
          <w:rFonts w:hint="eastAsia" w:ascii="宋体" w:hAnsi="宋体" w:cs="宋体"/>
          <w:highlight w:val="none"/>
        </w:rPr>
      </w:pPr>
    </w:p>
    <w:p>
      <w:pPr>
        <w:pStyle w:val="2"/>
        <w:ind w:firstLine="560"/>
        <w:rPr>
          <w:rFonts w:hint="eastAsia" w:ascii="宋体" w:hAnsi="宋体" w:cs="宋体"/>
          <w:highlight w:val="none"/>
        </w:rPr>
      </w:pPr>
    </w:p>
    <w:p>
      <w:pPr>
        <w:pStyle w:val="2"/>
        <w:ind w:left="0" w:leftChars="0" w:firstLine="0" w:firstLineChars="0"/>
        <w:rPr>
          <w:rFonts w:hint="eastAsia" w:ascii="宋体" w:hAnsi="宋体" w:cs="宋体"/>
          <w:highlight w:val="none"/>
        </w:rPr>
      </w:pPr>
    </w:p>
    <w:p>
      <w:pPr>
        <w:pStyle w:val="2"/>
        <w:ind w:left="0" w:leftChars="0" w:firstLine="0" w:firstLineChars="0"/>
        <w:rPr>
          <w:rFonts w:hint="eastAsia" w:ascii="宋体" w:hAnsi="宋体" w:cs="宋体"/>
          <w:highlight w:val="none"/>
        </w:rPr>
      </w:pPr>
    </w:p>
    <w:p>
      <w:pPr>
        <w:pStyle w:val="2"/>
        <w:ind w:left="0" w:leftChars="0" w:firstLine="0" w:firstLineChars="0"/>
        <w:rPr>
          <w:rFonts w:hint="eastAsia" w:ascii="宋体" w:hAnsi="宋体" w:cs="宋体"/>
          <w:highlight w:val="none"/>
        </w:rPr>
      </w:pPr>
    </w:p>
    <w:p>
      <w:pPr>
        <w:pStyle w:val="2"/>
        <w:ind w:left="0" w:leftChars="0" w:firstLine="0" w:firstLineChars="0"/>
        <w:rPr>
          <w:rFonts w:hint="eastAsia" w:ascii="宋体" w:hAnsi="宋体" w:cs="宋体"/>
          <w:highlight w:val="none"/>
        </w:rPr>
      </w:pPr>
    </w:p>
    <w:p>
      <w:pPr>
        <w:pStyle w:val="2"/>
        <w:ind w:left="0" w:leftChars="0" w:firstLine="0" w:firstLineChars="0"/>
        <w:rPr>
          <w:rFonts w:hint="eastAsia" w:ascii="宋体" w:hAnsi="宋体" w:cs="宋体"/>
          <w:highlight w:val="none"/>
        </w:rPr>
      </w:pPr>
    </w:p>
    <w:p>
      <w:pPr>
        <w:pStyle w:val="2"/>
        <w:ind w:left="0" w:leftChars="0" w:firstLine="0" w:firstLineChars="0"/>
        <w:rPr>
          <w:rFonts w:hint="eastAsia" w:ascii="宋体" w:hAnsi="宋体" w:cs="宋体"/>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CF541"/>
    <w:multiLevelType w:val="singleLevel"/>
    <w:tmpl w:val="936CF541"/>
    <w:lvl w:ilvl="0" w:tentative="0">
      <w:start w:val="2"/>
      <w:numFmt w:val="decimal"/>
      <w:suff w:val="nothing"/>
      <w:lvlText w:val="%1、"/>
      <w:lvlJc w:val="left"/>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D5106"/>
    <w:rsid w:val="5A87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styleId="3">
    <w:name w:val="Body Text Indent"/>
    <w:basedOn w:val="1"/>
    <w:qFormat/>
    <w:uiPriority w:val="0"/>
    <w:pPr>
      <w:adjustRightInd w:val="0"/>
      <w:spacing w:line="360" w:lineRule="auto"/>
      <w:ind w:firstLine="490"/>
      <w:jc w:val="left"/>
    </w:pPr>
    <w:rPr>
      <w:rFonts w:ascii="宋体" w:hAnsi="宋体"/>
      <w:sz w:val="24"/>
    </w:rPr>
  </w:style>
  <w:style w:type="paragraph" w:styleId="4">
    <w:name w:val="Block Text"/>
    <w:basedOn w:val="1"/>
    <w:qFormat/>
    <w:uiPriority w:val="0"/>
    <w:pPr>
      <w:adjustRightInd w:val="0"/>
      <w:spacing w:line="300" w:lineRule="auto"/>
      <w:ind w:left="958" w:rightChars="-120"/>
      <w:jc w:val="left"/>
    </w:pPr>
    <w:rPr>
      <w:rFonts w:ascii="宋体" w:hAnsi="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2021-01-15T07:47:34Z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