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1038"/>
        <w:gridCol w:w="3059"/>
        <w:gridCol w:w="1701"/>
        <w:gridCol w:w="1843"/>
        <w:gridCol w:w="168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31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ascii="宋体" w:hAnsi="宋体" w:cs="宋体"/>
                <w:color w:val="auto"/>
                <w:sz w:val="22"/>
                <w:szCs w:val="22"/>
                <w:highlight w:val="none"/>
              </w:rPr>
            </w:pPr>
            <w:r>
              <w:rPr>
                <w:rFonts w:hint="eastAsia" w:hAnsi="宋体" w:cs="宋体"/>
                <w:color w:val="auto"/>
                <w:sz w:val="22"/>
                <w:szCs w:val="22"/>
                <w:highlight w:val="none"/>
              </w:rPr>
              <w:t>图书馆图书搬迁及盘库服务</w:t>
            </w:r>
            <w:r>
              <w:rPr>
                <w:rFonts w:hint="eastAsia" w:ascii="宋体" w:hAnsi="宋体" w:cs="宋体"/>
                <w:color w:val="auto"/>
                <w:sz w:val="22"/>
                <w:szCs w:val="22"/>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1批</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260800</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pStyle w:val="4"/>
        <w:ind w:right="-252"/>
        <w:rPr>
          <w:rFonts w:hint="eastAsia"/>
          <w:color w:val="auto"/>
          <w:highlight w:val="none"/>
        </w:rPr>
      </w:pPr>
    </w:p>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szCs w:val="22"/>
                <w:highlight w:val="none"/>
                <w:u w:val="single"/>
              </w:rPr>
            </w:pPr>
            <w:r>
              <w:rPr>
                <w:rFonts w:hint="eastAsia" w:ascii="宋体" w:hAnsi="宋体" w:cs="宋体"/>
                <w:color w:val="auto"/>
                <w:sz w:val="22"/>
                <w:szCs w:val="22"/>
                <w:highlight w:val="none"/>
                <w:u w:val="single"/>
              </w:rPr>
              <w:t>所有服务内容验收质量达标，数据采集正确有效，验收合格后，采购人当年支付合同约定采购项目（一）、（三）两项款项。采购项目（二）款项支付根据业务实际发生的时间，于项目完工后60个工作日内付款。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 项目完成时间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rPr>
                <w:rFonts w:hint="eastAsia" w:ascii="宋体" w:hAnsi="宋体" w:cs="宋体"/>
                <w:b/>
                <w:bCs/>
                <w:color w:val="auto"/>
                <w:sz w:val="22"/>
                <w:highlight w:val="none"/>
              </w:rPr>
            </w:pPr>
            <w:r>
              <w:rPr>
                <w:rFonts w:hint="eastAsia" w:ascii="宋体" w:hAnsi="宋体" w:cs="宋体"/>
                <w:bCs/>
                <w:color w:val="auto"/>
                <w:kern w:val="0"/>
                <w:sz w:val="22"/>
                <w:highlight w:val="none"/>
              </w:rPr>
              <w:t>项目完成时间：</w:t>
            </w:r>
          </w:p>
          <w:p>
            <w:pPr>
              <w:pStyle w:val="7"/>
              <w:ind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采购内容（一）完成时间：合同签订后，接到采购方通知后25天完工。</w:t>
            </w:r>
          </w:p>
          <w:p>
            <w:pPr>
              <w:pStyle w:val="7"/>
              <w:ind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采购内容（二）完成时间: 合同签订后，接到采购方通知后25天完工。</w:t>
            </w:r>
          </w:p>
          <w:p>
            <w:pPr>
              <w:pStyle w:val="7"/>
              <w:ind w:firstLine="0" w:firstLineChars="0"/>
              <w:rPr>
                <w:rFonts w:hint="eastAsia" w:ascii="宋体" w:hAnsi="宋体" w:cs="宋体"/>
                <w:bCs/>
                <w:color w:val="auto"/>
                <w:kern w:val="0"/>
                <w:sz w:val="22"/>
                <w:highlight w:val="none"/>
              </w:rPr>
            </w:pPr>
            <w:r>
              <w:rPr>
                <w:rFonts w:hint="eastAsia" w:ascii="宋体" w:hAnsi="宋体" w:cs="宋体"/>
                <w:bCs/>
                <w:color w:val="auto"/>
                <w:sz w:val="22"/>
                <w:highlight w:val="none"/>
              </w:rPr>
              <w:t>采购内容（三）完成时间：合同签订后，接到采购方通知后25天完工。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温州职业技术学院图书馆指定地点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rPr>
                <w:rFonts w:hint="eastAsia" w:ascii="宋体" w:hAnsi="宋体" w:cs="宋体"/>
                <w:bCs/>
                <w:color w:val="auto"/>
                <w:kern w:val="0"/>
                <w:sz w:val="22"/>
                <w:highlight w:val="none"/>
              </w:rPr>
            </w:pPr>
            <w:r>
              <w:rPr>
                <w:rFonts w:hint="eastAsia" w:ascii="宋体" w:hAnsi="宋体" w:cs="宋体"/>
                <w:bCs/>
                <w:color w:val="auto"/>
                <w:kern w:val="0"/>
                <w:sz w:val="22"/>
                <w:highlight w:val="none"/>
              </w:rPr>
              <w:t>验收标准</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1、项目内容所规定的任务和要求。</w:t>
            </w:r>
          </w:p>
          <w:p>
            <w:pPr>
              <w:pStyle w:val="7"/>
              <w:ind w:firstLine="0" w:firstLineChars="0"/>
              <w:rPr>
                <w:rFonts w:hint="eastAsia" w:ascii="宋体" w:hAnsi="宋体" w:cs="宋体"/>
                <w:bCs/>
                <w:color w:val="auto"/>
                <w:kern w:val="0"/>
                <w:sz w:val="22"/>
                <w:highlight w:val="none"/>
              </w:rPr>
            </w:pPr>
            <w:r>
              <w:rPr>
                <w:rFonts w:hint="eastAsia" w:ascii="宋体" w:hAnsi="宋体" w:cs="宋体"/>
                <w:color w:val="auto"/>
                <w:sz w:val="22"/>
                <w:highlight w:val="none"/>
              </w:rPr>
              <w:t>2、数据采集过程中，数据存放的顺序、内容是否与标书约定的要求保持一致，匹配率不能低于100%。</w:t>
            </w:r>
          </w:p>
        </w:tc>
      </w:tr>
    </w:tbl>
    <w:p>
      <w:pPr>
        <w:snapToGrid w:val="0"/>
        <w:spacing w:line="360" w:lineRule="exact"/>
        <w:rPr>
          <w:rFonts w:hint="eastAsia" w:ascii="宋体" w:hAnsi="宋体" w:cs="宋体"/>
          <w:b/>
          <w:bCs/>
          <w:color w:val="auto"/>
          <w:spacing w:val="-6"/>
          <w:sz w:val="22"/>
          <w:szCs w:val="22"/>
          <w:highlight w:val="none"/>
        </w:rPr>
      </w:pPr>
    </w:p>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pStyle w:val="7"/>
              <w:ind w:firstLine="0" w:firstLineChars="0"/>
              <w:rPr>
                <w:rFonts w:hint="eastAsia" w:ascii="宋体" w:hAnsi="宋体" w:cs="宋体"/>
                <w:color w:val="auto"/>
                <w:sz w:val="22"/>
                <w:highlight w:val="none"/>
              </w:rPr>
            </w:pPr>
            <w:r>
              <w:rPr>
                <w:rFonts w:hint="eastAsia" w:ascii="宋体" w:hAnsi="宋体" w:cs="宋体"/>
                <w:color w:val="auto"/>
                <w:sz w:val="22"/>
                <w:highlight w:val="none"/>
              </w:rPr>
              <w:t>采购内容：</w:t>
            </w:r>
          </w:p>
          <w:p>
            <w:pPr>
              <w:pStyle w:val="7"/>
              <w:ind w:left="420" w:firstLine="220" w:firstLineChars="100"/>
              <w:rPr>
                <w:rFonts w:hint="eastAsia" w:ascii="宋体" w:hAnsi="宋体" w:cs="宋体"/>
                <w:bCs/>
                <w:color w:val="auto"/>
                <w:sz w:val="22"/>
                <w:highlight w:val="none"/>
              </w:rPr>
            </w:pPr>
            <w:r>
              <w:rPr>
                <w:rFonts w:hint="eastAsia" w:ascii="宋体" w:hAnsi="宋体" w:cs="宋体"/>
                <w:color w:val="auto"/>
                <w:sz w:val="22"/>
                <w:highlight w:val="none"/>
              </w:rPr>
              <w:t>（一）将温州职业技术学院茶山校区图书馆约15.</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万册</w:t>
            </w:r>
            <w:r>
              <w:rPr>
                <w:rFonts w:hint="eastAsia" w:ascii="宋体" w:hAnsi="宋体" w:cs="宋体"/>
                <w:bCs/>
                <w:color w:val="auto"/>
                <w:sz w:val="22"/>
                <w:highlight w:val="none"/>
              </w:rPr>
              <w:t>图书、期刊按次序打包、运送至瑞安校区</w:t>
            </w:r>
            <w:r>
              <w:rPr>
                <w:rFonts w:hint="eastAsia" w:ascii="宋体" w:hAnsi="宋体" w:cs="宋体"/>
                <w:bCs/>
                <w:color w:val="auto"/>
                <w:sz w:val="22"/>
                <w:highlight w:val="none"/>
                <w:lang w:eastAsia="zh-CN"/>
              </w:rPr>
              <w:t>，</w:t>
            </w:r>
            <w:r>
              <w:rPr>
                <w:rFonts w:hint="eastAsia" w:ascii="宋体" w:hAnsi="宋体" w:cs="宋体"/>
                <w:bCs/>
                <w:color w:val="auto"/>
                <w:sz w:val="22"/>
                <w:highlight w:val="none"/>
              </w:rPr>
              <w:t>并进行整理，按《中图法》将此等图书</w:t>
            </w:r>
            <w:r>
              <w:rPr>
                <w:rFonts w:hint="eastAsia" w:ascii="宋体" w:hAnsi="宋体" w:cs="宋体"/>
                <w:bCs/>
                <w:color w:val="auto"/>
                <w:sz w:val="22"/>
                <w:highlight w:val="none"/>
                <w:lang w:eastAsia="zh-CN"/>
              </w:rPr>
              <w:t>分类</w:t>
            </w:r>
            <w:r>
              <w:rPr>
                <w:rFonts w:hint="eastAsia" w:ascii="宋体" w:hAnsi="宋体" w:cs="宋体"/>
                <w:bCs/>
                <w:color w:val="auto"/>
                <w:sz w:val="22"/>
                <w:highlight w:val="none"/>
              </w:rPr>
              <w:t>上架到</w:t>
            </w:r>
            <w:r>
              <w:rPr>
                <w:rFonts w:hint="eastAsia" w:ascii="宋体" w:hAnsi="宋体" w:cs="宋体"/>
                <w:bCs/>
                <w:color w:val="auto"/>
                <w:sz w:val="22"/>
                <w:highlight w:val="none"/>
                <w:lang w:eastAsia="zh-CN"/>
              </w:rPr>
              <w:t>指定</w:t>
            </w:r>
            <w:r>
              <w:rPr>
                <w:rFonts w:hint="eastAsia" w:ascii="宋体" w:hAnsi="宋体" w:cs="宋体"/>
                <w:bCs/>
                <w:color w:val="auto"/>
                <w:sz w:val="22"/>
                <w:highlight w:val="none"/>
              </w:rPr>
              <w:t>位置</w:t>
            </w:r>
            <w:r>
              <w:rPr>
                <w:rFonts w:hint="eastAsia" w:ascii="宋体" w:hAnsi="宋体" w:cs="宋体"/>
                <w:bCs/>
                <w:color w:val="auto"/>
                <w:sz w:val="22"/>
                <w:highlight w:val="none"/>
                <w:lang w:eastAsia="zh-CN"/>
              </w:rPr>
              <w:t>指定书架</w:t>
            </w:r>
            <w:r>
              <w:rPr>
                <w:rFonts w:hint="eastAsia" w:ascii="宋体" w:hAnsi="宋体" w:cs="宋体"/>
                <w:bCs/>
                <w:color w:val="auto"/>
                <w:sz w:val="22"/>
                <w:highlight w:val="none"/>
              </w:rPr>
              <w:t>，然后用条码阅读器采集流通书架上所有图书条形码数据，并做好定位。</w:t>
            </w:r>
          </w:p>
          <w:p>
            <w:pPr>
              <w:pStyle w:val="7"/>
              <w:ind w:left="420" w:firstLine="220" w:firstLineChars="100"/>
              <w:rPr>
                <w:rFonts w:hint="eastAsia" w:ascii="宋体" w:hAnsi="宋体" w:cs="宋体"/>
                <w:bCs/>
                <w:color w:val="auto"/>
                <w:sz w:val="22"/>
                <w:highlight w:val="none"/>
              </w:rPr>
            </w:pPr>
            <w:r>
              <w:rPr>
                <w:rFonts w:hint="eastAsia" w:ascii="宋体" w:hAnsi="宋体" w:cs="宋体"/>
                <w:bCs/>
                <w:color w:val="auto"/>
                <w:sz w:val="22"/>
                <w:highlight w:val="none"/>
              </w:rPr>
              <w:t>（二）将温州职业技术学院茶山校区与瑞安校区图书馆采购方指定的约47</w:t>
            </w:r>
            <w:r>
              <w:rPr>
                <w:rFonts w:hint="eastAsia" w:ascii="宋体" w:hAnsi="宋体" w:cs="宋体"/>
                <w:bCs/>
                <w:color w:val="auto"/>
                <w:sz w:val="22"/>
                <w:highlight w:val="none"/>
                <w:lang w:val="en-US" w:eastAsia="zh-CN"/>
              </w:rPr>
              <w:t>.4</w:t>
            </w:r>
            <w:r>
              <w:rPr>
                <w:rFonts w:hint="eastAsia" w:ascii="宋体" w:hAnsi="宋体" w:cs="宋体"/>
                <w:bCs/>
                <w:color w:val="auto"/>
                <w:sz w:val="22"/>
                <w:highlight w:val="none"/>
              </w:rPr>
              <w:t>万册图书进行整理，筛查出所有错架、乱架图书，并按《中图法》将此等图书归类到原有位置，然后用条码阅读器采集流通书架上所有图书条形码数据，并做好定位。</w:t>
            </w:r>
          </w:p>
          <w:p>
            <w:pPr>
              <w:pStyle w:val="7"/>
              <w:ind w:left="420" w:firstLine="220" w:firstLineChars="100"/>
              <w:rPr>
                <w:rFonts w:hint="eastAsia" w:ascii="宋体" w:hAnsi="宋体" w:cs="宋体"/>
                <w:bCs/>
                <w:color w:val="auto"/>
                <w:sz w:val="22"/>
                <w:highlight w:val="none"/>
              </w:rPr>
            </w:pPr>
            <w:r>
              <w:rPr>
                <w:rFonts w:hint="eastAsia" w:ascii="宋体" w:hAnsi="宋体" w:cs="宋体"/>
                <w:color w:val="auto"/>
                <w:sz w:val="22"/>
                <w:highlight w:val="none"/>
              </w:rPr>
              <w:t>（三）将图书馆约1.</w:t>
            </w:r>
            <w:r>
              <w:rPr>
                <w:rFonts w:hint="eastAsia" w:ascii="宋体" w:hAnsi="宋体" w:cs="宋体"/>
                <w:color w:val="auto"/>
                <w:sz w:val="22"/>
                <w:highlight w:val="none"/>
                <w:lang w:val="en-US" w:eastAsia="zh-CN"/>
              </w:rPr>
              <w:t>45</w:t>
            </w:r>
            <w:r>
              <w:rPr>
                <w:rFonts w:hint="eastAsia" w:ascii="宋体" w:hAnsi="宋体" w:cs="宋体"/>
                <w:color w:val="auto"/>
                <w:sz w:val="22"/>
                <w:highlight w:val="none"/>
              </w:rPr>
              <w:t>万</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归属</w:t>
            </w:r>
            <w:r>
              <w:rPr>
                <w:rFonts w:hint="eastAsia" w:ascii="宋体" w:hAnsi="宋体" w:cs="宋体"/>
                <w:color w:val="auto"/>
                <w:sz w:val="22"/>
                <w:highlight w:val="none"/>
              </w:rPr>
              <w:t>温州职业技术学院茶山校区图书馆约15.</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万册</w:t>
            </w:r>
            <w:r>
              <w:rPr>
                <w:rFonts w:hint="eastAsia" w:ascii="宋体" w:hAnsi="宋体" w:cs="宋体"/>
                <w:color w:val="auto"/>
                <w:sz w:val="22"/>
                <w:highlight w:val="none"/>
                <w:lang w:val="en-US" w:eastAsia="zh-CN"/>
              </w:rPr>
              <w:t>中的1.45</w:t>
            </w:r>
            <w:bookmarkStart w:id="0" w:name="_GoBack"/>
            <w:bookmarkEnd w:id="0"/>
            <w:r>
              <w:rPr>
                <w:rFonts w:hint="eastAsia" w:ascii="宋体" w:hAnsi="宋体" w:cs="宋体"/>
                <w:color w:val="auto"/>
                <w:sz w:val="22"/>
                <w:highlight w:val="none"/>
                <w:lang w:val="en-US" w:eastAsia="zh-CN"/>
              </w:rPr>
              <w:t>万册</w:t>
            </w:r>
            <w:r>
              <w:rPr>
                <w:rFonts w:hint="eastAsia" w:ascii="宋体" w:hAnsi="宋体" w:cs="宋体"/>
                <w:color w:val="auto"/>
                <w:sz w:val="22"/>
                <w:highlight w:val="none"/>
                <w:lang w:eastAsia="zh-CN"/>
              </w:rPr>
              <w:t>）</w:t>
            </w:r>
            <w:r>
              <w:rPr>
                <w:rFonts w:hint="eastAsia" w:ascii="宋体" w:hAnsi="宋体" w:cs="宋体"/>
                <w:color w:val="auto"/>
                <w:sz w:val="22"/>
                <w:highlight w:val="none"/>
              </w:rPr>
              <w:t>册图书、期刊等进行加工（贴磁条、盖章、贴条码、贴书标）数据编目加工、</w:t>
            </w:r>
            <w:r>
              <w:rPr>
                <w:rFonts w:hint="eastAsia" w:ascii="宋体" w:hAnsi="宋体" w:cs="宋体"/>
                <w:bCs/>
                <w:color w:val="auto"/>
                <w:sz w:val="22"/>
                <w:highlight w:val="none"/>
              </w:rPr>
              <w:t>并进行整理，按《中图法》将此等图书搬运上架到指定位置</w:t>
            </w:r>
            <w:r>
              <w:rPr>
                <w:rFonts w:hint="eastAsia" w:ascii="宋体" w:hAnsi="宋体" w:cs="宋体"/>
                <w:bCs/>
                <w:color w:val="auto"/>
                <w:sz w:val="22"/>
                <w:highlight w:val="none"/>
                <w:lang w:eastAsia="zh-CN"/>
              </w:rPr>
              <w:t>指定书架</w:t>
            </w:r>
            <w:r>
              <w:rPr>
                <w:rFonts w:hint="eastAsia" w:ascii="宋体" w:hAnsi="宋体" w:cs="宋体"/>
                <w:bCs/>
                <w:color w:val="auto"/>
                <w:sz w:val="22"/>
                <w:highlight w:val="none"/>
              </w:rPr>
              <w:t>，然后用条码阅读器采集流通书架上所有图书条形码数据，并做好定位。</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采购要求：</w:t>
            </w:r>
          </w:p>
          <w:p>
            <w:pPr>
              <w:pStyle w:val="7"/>
              <w:ind w:left="420" w:firstLine="0" w:firstLineChars="0"/>
              <w:rPr>
                <w:rFonts w:hint="eastAsia" w:ascii="宋体" w:hAnsi="宋体" w:cs="宋体"/>
                <w:b/>
                <w:bCs/>
                <w:color w:val="auto"/>
                <w:sz w:val="22"/>
                <w:highlight w:val="none"/>
              </w:rPr>
            </w:pPr>
            <w:r>
              <w:rPr>
                <w:rFonts w:hint="eastAsia" w:ascii="宋体" w:hAnsi="宋体" w:cs="宋体"/>
                <w:color w:val="auto"/>
                <w:sz w:val="22"/>
                <w:highlight w:val="none"/>
              </w:rPr>
              <w:t xml:space="preserve"> </w:t>
            </w:r>
            <w:r>
              <w:rPr>
                <w:rFonts w:hint="eastAsia" w:ascii="宋体" w:hAnsi="宋体" w:cs="宋体"/>
                <w:b/>
                <w:bCs/>
                <w:color w:val="auto"/>
                <w:sz w:val="22"/>
                <w:highlight w:val="none"/>
              </w:rPr>
              <w:t>（一）数据采集要求</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1、对项目内容所涉及到的每一本图书都要进行数据采集。</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2、采集到的数据用EXCEL表格保存，数据存放的顺序与书架上的图书的顺序保持一致。</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3、数据采集按照书架的顺序，从上到下，从左到右，呈“S”形依次扫码。具体来说，一排书架由5到6节，每节由6个层格组成，每个层格大至码放50本左右的图书，每个层格的数据占一条记录，每一本书对应一个单元格。所有数据记录按照书架顺序、层格顺序依次编序存放。</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4、对采集到的数据要及时进行核查，确保表格上的数据顺序、数据内容与书架上图书顺序、图书条形码数据保持一致，匹配率不能低于100%。</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5、数据采集过程中，对已经采集到数据的图书禁止随意挪动，确保数据存放顺序与图书在书库上陈列顺序保持一致。</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6、将现场采集到的数据与温州职业技术学院图书馆文献信息服务系统后台数据总库进行匹配，筛选出所有异常数据，并按图书馆的要求对异常数据进行标识。</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7、采购方在迎接上级主管部门评估期间，中标商至少安排一人到馆协助图书馆工作人员进行图书查找，其工作人员费用自理。</w:t>
            </w:r>
          </w:p>
          <w:p>
            <w:pPr>
              <w:pStyle w:val="7"/>
              <w:ind w:left="420" w:firstLine="0" w:firstLineChars="0"/>
              <w:rPr>
                <w:rFonts w:hint="eastAsia" w:ascii="宋体" w:hAnsi="宋体" w:cs="宋体"/>
                <w:b/>
                <w:bCs/>
                <w:color w:val="auto"/>
                <w:sz w:val="22"/>
                <w:highlight w:val="none"/>
              </w:rPr>
            </w:pPr>
            <w:r>
              <w:rPr>
                <w:rFonts w:hint="eastAsia" w:ascii="宋体" w:hAnsi="宋体" w:cs="宋体"/>
                <w:b/>
                <w:bCs/>
                <w:color w:val="auto"/>
                <w:sz w:val="22"/>
                <w:highlight w:val="none"/>
              </w:rPr>
              <w:t>（二）上架要求</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1、对项目内容中采购内容（一）</w:t>
            </w:r>
            <w:r>
              <w:rPr>
                <w:rFonts w:hint="eastAsia" w:ascii="宋体" w:hAnsi="宋体" w:cs="宋体"/>
                <w:bCs/>
                <w:color w:val="auto"/>
                <w:sz w:val="22"/>
                <w:highlight w:val="none"/>
                <w:lang w:eastAsia="zh-CN"/>
              </w:rPr>
              <w:t>和</w:t>
            </w:r>
            <w:r>
              <w:rPr>
                <w:rFonts w:hint="eastAsia" w:ascii="宋体" w:hAnsi="宋体" w:cs="宋体"/>
                <w:bCs/>
                <w:color w:val="auto"/>
                <w:sz w:val="22"/>
                <w:highlight w:val="none"/>
              </w:rPr>
              <w:t>（三）</w:t>
            </w:r>
            <w:r>
              <w:rPr>
                <w:rFonts w:hint="eastAsia" w:ascii="宋体" w:hAnsi="宋体" w:cs="宋体"/>
                <w:bCs/>
                <w:color w:val="auto"/>
                <w:sz w:val="22"/>
                <w:highlight w:val="none"/>
                <w:lang w:eastAsia="zh-CN"/>
              </w:rPr>
              <w:t>所涉及到的</w:t>
            </w:r>
            <w:r>
              <w:rPr>
                <w:rFonts w:hint="eastAsia" w:ascii="宋体" w:hAnsi="宋体" w:cs="宋体"/>
                <w:bCs/>
                <w:color w:val="auto"/>
                <w:sz w:val="22"/>
                <w:highlight w:val="none"/>
                <w:lang w:val="en-US" w:eastAsia="zh-CN"/>
              </w:rPr>
              <w:t>15.4万</w:t>
            </w:r>
            <w:r>
              <w:rPr>
                <w:rFonts w:hint="eastAsia" w:ascii="宋体" w:hAnsi="宋体" w:cs="宋体"/>
                <w:bCs/>
                <w:color w:val="auto"/>
                <w:sz w:val="22"/>
                <w:highlight w:val="none"/>
              </w:rPr>
              <w:t>册图书都要分类上架到指定书库，指定书架。</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2、对本项目内所有图书依据温州职业技术学院图书馆原有分类体系给定的索书号依序归类、依序上架。</w:t>
            </w:r>
          </w:p>
          <w:p>
            <w:pPr>
              <w:pStyle w:val="7"/>
              <w:ind w:left="420" w:firstLine="0" w:firstLineChars="0"/>
              <w:rPr>
                <w:rFonts w:hint="eastAsia" w:ascii="宋体" w:hAnsi="宋体" w:cs="宋体"/>
                <w:bCs/>
                <w:color w:val="auto"/>
                <w:sz w:val="22"/>
                <w:highlight w:val="none"/>
              </w:rPr>
            </w:pPr>
            <w:r>
              <w:rPr>
                <w:rFonts w:hint="eastAsia" w:ascii="宋体" w:hAnsi="宋体" w:cs="宋体"/>
                <w:bCs/>
                <w:color w:val="auto"/>
                <w:sz w:val="22"/>
                <w:highlight w:val="none"/>
              </w:rPr>
              <w:t>3、分类号相同的图书按种次号的顺序依次排序上架。</w:t>
            </w:r>
          </w:p>
          <w:p>
            <w:pPr>
              <w:pStyle w:val="7"/>
              <w:ind w:left="420" w:firstLine="0" w:firstLineChars="0"/>
              <w:rPr>
                <w:rFonts w:hint="eastAsia" w:ascii="宋体" w:hAnsi="宋体" w:cs="宋体"/>
                <w:b/>
                <w:color w:val="auto"/>
                <w:sz w:val="22"/>
                <w:highlight w:val="none"/>
              </w:rPr>
            </w:pPr>
            <w:r>
              <w:rPr>
                <w:rFonts w:hint="eastAsia" w:ascii="宋体" w:hAnsi="宋体" w:cs="宋体"/>
                <w:b/>
                <w:color w:val="auto"/>
                <w:sz w:val="22"/>
                <w:highlight w:val="none"/>
              </w:rPr>
              <w:t>（三）整架要求</w:t>
            </w:r>
          </w:p>
          <w:p>
            <w:pPr>
              <w:pStyle w:val="7"/>
              <w:ind w:left="420" w:firstLine="0" w:firstLineChars="0"/>
              <w:rPr>
                <w:rFonts w:hint="eastAsia" w:ascii="宋体" w:hAnsi="宋体" w:cs="宋体"/>
                <w:color w:val="auto"/>
                <w:sz w:val="22"/>
                <w:highlight w:val="none"/>
              </w:rPr>
            </w:pPr>
            <w:r>
              <w:rPr>
                <w:rFonts w:hint="eastAsia" w:ascii="宋体" w:hAnsi="宋体" w:cs="宋体"/>
                <w:color w:val="auto"/>
                <w:sz w:val="22"/>
                <w:highlight w:val="none"/>
              </w:rPr>
              <w:t>1、对项目内容所涉及到密集书库、流通书库的图书都要进行归类整架。</w:t>
            </w:r>
          </w:p>
          <w:p>
            <w:pPr>
              <w:pStyle w:val="7"/>
              <w:ind w:left="420" w:firstLine="0" w:firstLineChars="0"/>
              <w:rPr>
                <w:rFonts w:hint="eastAsia" w:ascii="宋体" w:hAnsi="宋体" w:cs="宋体"/>
                <w:color w:val="auto"/>
                <w:sz w:val="22"/>
                <w:highlight w:val="none"/>
              </w:rPr>
            </w:pPr>
            <w:r>
              <w:rPr>
                <w:rFonts w:hint="eastAsia" w:ascii="宋体" w:hAnsi="宋体" w:cs="宋体"/>
                <w:color w:val="auto"/>
                <w:sz w:val="22"/>
                <w:highlight w:val="none"/>
              </w:rPr>
              <w:t>2、逐架逐类对现有开架图书进行整理，筛查出所有错架、乱架图书。</w:t>
            </w:r>
          </w:p>
          <w:p>
            <w:pPr>
              <w:pStyle w:val="7"/>
              <w:ind w:left="420" w:firstLine="0" w:firstLineChars="0"/>
              <w:rPr>
                <w:rFonts w:hint="eastAsia" w:ascii="宋体" w:hAnsi="宋体" w:cs="宋体"/>
                <w:color w:val="auto"/>
                <w:sz w:val="22"/>
                <w:highlight w:val="none"/>
              </w:rPr>
            </w:pPr>
            <w:r>
              <w:rPr>
                <w:rFonts w:hint="eastAsia" w:ascii="宋体" w:hAnsi="宋体" w:cs="宋体"/>
                <w:color w:val="auto"/>
                <w:sz w:val="22"/>
                <w:highlight w:val="none"/>
              </w:rPr>
              <w:t>3、依照学校图书馆原有分类体系，按索书号的顺序将所有错架、乱架的图书归置到应该存放的正确位置。</w:t>
            </w:r>
          </w:p>
          <w:p>
            <w:pPr>
              <w:pStyle w:val="8"/>
              <w:rPr>
                <w:rFonts w:hint="eastAsia"/>
                <w:color w:val="auto"/>
                <w:highlight w:val="none"/>
              </w:rPr>
            </w:pPr>
            <w:r>
              <w:rPr>
                <w:rFonts w:hint="eastAsia"/>
                <w:color w:val="auto"/>
                <w:highlight w:val="none"/>
              </w:rPr>
              <w:t>4、过刊库、密集书库按方便数据采集的要求进行整理。</w:t>
            </w:r>
          </w:p>
          <w:p>
            <w:pPr>
              <w:pStyle w:val="2"/>
              <w:ind w:firstLine="442"/>
              <w:rPr>
                <w:rFonts w:hint="eastAsia" w:ascii="宋体" w:hAnsi="宋体" w:cs="宋体"/>
                <w:b/>
                <w:bCs/>
                <w:color w:val="auto"/>
                <w:spacing w:val="-6"/>
                <w:sz w:val="22"/>
                <w:szCs w:val="22"/>
                <w:highlight w:val="none"/>
              </w:rPr>
            </w:pPr>
            <w:r>
              <w:rPr>
                <w:rFonts w:hint="eastAsia" w:ascii="宋体" w:hAnsi="宋体" w:cs="宋体"/>
                <w:b/>
                <w:bCs/>
                <w:color w:val="auto"/>
                <w:sz w:val="22"/>
                <w:szCs w:val="22"/>
                <w:highlight w:val="none"/>
              </w:rPr>
              <w:t xml:space="preserve">   </w:t>
            </w:r>
          </w:p>
        </w:tc>
      </w:tr>
    </w:tbl>
    <w:p>
      <w:pPr>
        <w:pStyle w:val="2"/>
        <w:ind w:left="0" w:leftChars="0" w:firstLine="0" w:firstLineChars="0"/>
        <w:rPr>
          <w:rFonts w:hint="eastAsia" w:ascii="宋体" w:hAnsi="宋体" w:cs="宋体"/>
          <w:b/>
          <w:bCs/>
          <w:color w:val="auto"/>
          <w:spacing w:val="-6"/>
          <w:sz w:val="22"/>
          <w:szCs w:val="22"/>
          <w:highlight w:val="none"/>
        </w:rPr>
      </w:pPr>
    </w:p>
    <w:p>
      <w:pPr>
        <w:spacing w:line="360" w:lineRule="exact"/>
        <w:rPr>
          <w:rFonts w:hint="eastAsia" w:ascii="宋体" w:hAnsi="宋体" w:cs="宋体"/>
          <w:b/>
          <w:bCs/>
          <w:color w:val="auto"/>
          <w:sz w:val="22"/>
          <w:szCs w:val="22"/>
          <w:highlight w:val="none"/>
        </w:rPr>
      </w:pPr>
      <w:r>
        <w:rPr>
          <w:rFonts w:hint="eastAsia" w:ascii="宋体" w:hAnsi="宋体" w:cs="宋体"/>
          <w:b/>
          <w:color w:val="auto"/>
          <w:spacing w:val="-6"/>
          <w:sz w:val="22"/>
          <w:szCs w:val="22"/>
          <w:highlight w:val="none"/>
        </w:rPr>
        <w:t>四、其他</w:t>
      </w:r>
    </w:p>
    <w:p>
      <w:pPr>
        <w:spacing w:line="36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spacing w:val="-6"/>
          <w:sz w:val="22"/>
          <w:szCs w:val="22"/>
          <w:highlight w:val="none"/>
        </w:rPr>
      </w:pPr>
      <w:r>
        <w:rPr>
          <w:rFonts w:hint="eastAsia" w:ascii="宋体" w:hAnsi="宋体" w:cs="宋体"/>
          <w:b/>
          <w:color w:val="auto"/>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pStyle w:val="2"/>
        <w:ind w:left="0" w:leftChars="0" w:firstLine="0" w:firstLineChars="0"/>
        <w:rPr>
          <w:rFonts w:hint="eastAsia" w:ascii="宋体" w:hAnsi="宋体" w:cs="宋体"/>
          <w:color w:val="auto"/>
          <w:highlight w:val="none"/>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424A1"/>
    <w:rsid w:val="1E754BED"/>
    <w:rsid w:val="517A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uiPriority w:val="0"/>
    <w:pPr>
      <w:adjustRightInd w:val="0"/>
      <w:spacing w:line="360" w:lineRule="auto"/>
      <w:ind w:firstLine="490"/>
      <w:jc w:val="left"/>
    </w:pPr>
    <w:rPr>
      <w:rFonts w:ascii="宋体" w:hAnsi="宋体"/>
      <w:sz w:val="24"/>
    </w:rPr>
  </w:style>
  <w:style w:type="paragraph" w:styleId="4">
    <w:name w:val="Block Text"/>
    <w:basedOn w:val="1"/>
    <w:qFormat/>
    <w:uiPriority w:val="0"/>
    <w:pPr>
      <w:adjustRightInd w:val="0"/>
      <w:spacing w:line="300" w:lineRule="auto"/>
      <w:ind w:left="958" w:rightChars="-120"/>
      <w:jc w:val="left"/>
    </w:pPr>
    <w:rPr>
      <w:rFonts w:ascii="宋体" w:hAnsi="宋体"/>
      <w:sz w:val="28"/>
    </w:rPr>
  </w:style>
  <w:style w:type="paragraph" w:customStyle="1" w:styleId="7">
    <w:name w:val="List Paragraph"/>
    <w:basedOn w:val="1"/>
    <w:qFormat/>
    <w:uiPriority w:val="34"/>
    <w:pPr>
      <w:ind w:firstLine="420" w:firstLineChars="200"/>
    </w:pPr>
    <w:rPr>
      <w:rFonts w:ascii="Calibri" w:hAnsi="Calibri"/>
      <w:szCs w:val="22"/>
    </w:rPr>
  </w:style>
  <w:style w:type="paragraph" w:customStyle="1" w:styleId="8">
    <w:name w:val="Proposals body"/>
    <w:basedOn w:val="1"/>
    <w:next w:val="1"/>
    <w:qFormat/>
    <w:uiPriority w:val="0"/>
    <w:pPr>
      <w:widowControl/>
      <w:spacing w:line="360" w:lineRule="auto"/>
      <w:jc w:val="left"/>
    </w:pPr>
    <w:rPr>
      <w:rFonts w:ascii="宋体"/>
      <w:snapToGrid w:val="0"/>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黄倩</dc:creator>
  <cp:lastModifiedBy>XSDN</cp:lastModifiedBy>
  <dcterms:modified xsi:type="dcterms:W3CDTF">2021-02-21T08:45:27Z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