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rPr>
      </w:pPr>
      <w:r>
        <w:rPr>
          <w:rFonts w:hint="eastAsia" w:ascii="宋体" w:hAnsi="宋体" w:cs="宋体"/>
          <w:b/>
          <w:bCs/>
          <w:sz w:val="30"/>
          <w:szCs w:val="30"/>
        </w:rPr>
        <w:t>第三部分 采购需求</w:t>
      </w:r>
    </w:p>
    <w:p>
      <w:pPr>
        <w:snapToGrid w:val="0"/>
        <w:spacing w:line="360" w:lineRule="exact"/>
        <w:rPr>
          <w:rFonts w:hint="eastAsia" w:ascii="宋体" w:hAnsi="宋体" w:cs="宋体"/>
          <w:b/>
          <w:bCs/>
          <w:spacing w:val="-6"/>
          <w:sz w:val="22"/>
          <w:szCs w:val="22"/>
        </w:rPr>
      </w:pPr>
      <w:r>
        <w:rPr>
          <w:rFonts w:hint="eastAsia" w:ascii="宋体" w:hAnsi="宋体" w:cs="宋体"/>
          <w:b/>
          <w:bCs/>
          <w:spacing w:val="-6"/>
          <w:sz w:val="22"/>
          <w:szCs w:val="22"/>
        </w:rPr>
        <w:t>一、采购内容及数量</w:t>
      </w:r>
    </w:p>
    <w:tbl>
      <w:tblPr>
        <w:tblStyle w:val="3"/>
        <w:tblW w:w="0" w:type="auto"/>
        <w:jc w:val="center"/>
        <w:tblLayout w:type="fixed"/>
        <w:tblCellMar>
          <w:top w:w="0" w:type="dxa"/>
          <w:left w:w="108" w:type="dxa"/>
          <w:bottom w:w="0" w:type="dxa"/>
          <w:right w:w="108" w:type="dxa"/>
        </w:tblCellMar>
      </w:tblPr>
      <w:tblGrid>
        <w:gridCol w:w="1038"/>
        <w:gridCol w:w="2775"/>
        <w:gridCol w:w="1260"/>
        <w:gridCol w:w="1665"/>
        <w:gridCol w:w="2588"/>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序号</w:t>
            </w:r>
          </w:p>
        </w:tc>
        <w:tc>
          <w:tcPr>
            <w:tcW w:w="27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项目内容</w:t>
            </w:r>
          </w:p>
        </w:tc>
        <w:tc>
          <w:tcPr>
            <w:tcW w:w="126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 xml:space="preserve">数量 </w:t>
            </w:r>
          </w:p>
        </w:tc>
        <w:tc>
          <w:tcPr>
            <w:tcW w:w="1665"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预算金额(元)</w:t>
            </w:r>
          </w:p>
        </w:tc>
        <w:tc>
          <w:tcPr>
            <w:tcW w:w="2588"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1</w:t>
            </w:r>
          </w:p>
        </w:tc>
        <w:tc>
          <w:tcPr>
            <w:tcW w:w="2775"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2022年纸质期刊</w:t>
            </w: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1批</w:t>
            </w:r>
          </w:p>
        </w:tc>
        <w:tc>
          <w:tcPr>
            <w:tcW w:w="1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ascii="宋体" w:hAnsi="宋体" w:cs="宋体"/>
                <w:sz w:val="22"/>
                <w:szCs w:val="22"/>
              </w:rPr>
            </w:pPr>
            <w:r>
              <w:rPr>
                <w:rFonts w:hint="eastAsia" w:ascii="宋体" w:hAnsi="宋体" w:cs="宋体"/>
                <w:sz w:val="22"/>
                <w:szCs w:val="22"/>
              </w:rPr>
              <w:t>1</w:t>
            </w:r>
            <w:r>
              <w:rPr>
                <w:rFonts w:hint="eastAsia" w:ascii="宋体" w:hAnsi="宋体" w:cs="宋体"/>
                <w:sz w:val="22"/>
                <w:szCs w:val="22"/>
                <w:lang w:val="en-US" w:eastAsia="zh-CN"/>
              </w:rPr>
              <w:t>2</w:t>
            </w:r>
            <w:r>
              <w:rPr>
                <w:rFonts w:hint="eastAsia" w:ascii="宋体" w:hAnsi="宋体" w:cs="宋体"/>
                <w:sz w:val="22"/>
                <w:szCs w:val="22"/>
              </w:rPr>
              <w:t>0000.00</w:t>
            </w:r>
          </w:p>
        </w:tc>
        <w:tc>
          <w:tcPr>
            <w:tcW w:w="25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p>
        </w:tc>
      </w:tr>
    </w:tbl>
    <w:p>
      <w:pPr>
        <w:snapToGrid w:val="0"/>
        <w:spacing w:line="360" w:lineRule="exact"/>
        <w:outlineLvl w:val="0"/>
        <w:rPr>
          <w:rFonts w:hint="eastAsia" w:ascii="宋体" w:hAnsi="宋体" w:cs="宋体"/>
          <w:b/>
          <w:spacing w:val="-6"/>
          <w:sz w:val="22"/>
          <w:szCs w:val="22"/>
        </w:rPr>
      </w:pPr>
      <w:r>
        <w:rPr>
          <w:rFonts w:hint="eastAsia" w:ascii="宋体" w:hAnsi="宋体" w:cs="宋体"/>
          <w:b/>
          <w:bCs/>
          <w:kern w:val="0"/>
          <w:sz w:val="22"/>
          <w:szCs w:val="22"/>
        </w:rPr>
        <w:t>二、</w:t>
      </w:r>
      <w:r>
        <w:rPr>
          <w:rFonts w:hint="eastAsia" w:ascii="宋体" w:hAnsi="宋体" w:cs="宋体"/>
          <w:b/>
          <w:spacing w:val="-6"/>
          <w:sz w:val="22"/>
          <w:szCs w:val="22"/>
        </w:rPr>
        <w:t>商务要求（技术要求里另有注明的以技术要求为准）</w:t>
      </w:r>
    </w:p>
    <w:tbl>
      <w:tblPr>
        <w:tblStyle w:val="3"/>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4"/>
        <w:gridCol w:w="187"/>
        <w:gridCol w:w="1301"/>
        <w:gridCol w:w="66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244" w:hRule="atLeast"/>
          <w:jc w:val="center"/>
        </w:trPr>
        <w:tc>
          <w:tcPr>
            <w:tcW w:w="140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eastAsia="宋体" w:cs="宋体"/>
                <w:b/>
                <w:bCs/>
                <w:sz w:val="22"/>
                <w:szCs w:val="22"/>
                <w:u w:val="none"/>
              </w:rPr>
              <w:t>履约保证金</w:t>
            </w:r>
          </w:p>
        </w:tc>
        <w:tc>
          <w:tcPr>
            <w:tcW w:w="79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rPr>
            </w:pPr>
            <w:r>
              <w:rPr>
                <w:rFonts w:hint="eastAsia" w:ascii="宋体" w:hAnsi="宋体" w:eastAsia="宋体" w:cs="宋体"/>
                <w:b/>
                <w:color w:val="000000"/>
                <w:spacing w:val="-6"/>
                <w:sz w:val="22"/>
                <w:szCs w:val="22"/>
                <w:u w:val="single"/>
              </w:rPr>
              <w:t>▲</w:t>
            </w:r>
            <w:r>
              <w:rPr>
                <w:rFonts w:hint="eastAsia" w:ascii="宋体" w:hAnsi="宋体" w:eastAsia="宋体" w:cs="Times New Roman"/>
                <w:color w:val="000000"/>
                <w:spacing w:val="-6"/>
                <w:sz w:val="22"/>
                <w:szCs w:val="22"/>
                <w:u w:val="single"/>
                <w:lang w:eastAsia="zh-CN"/>
              </w:rPr>
              <w:t>本</w:t>
            </w:r>
            <w:r>
              <w:rPr>
                <w:rFonts w:hint="eastAsia" w:ascii="宋体" w:hAnsi="宋体" w:eastAsia="宋体" w:cs="Times New Roman"/>
                <w:color w:val="000000"/>
                <w:spacing w:val="-6"/>
                <w:sz w:val="22"/>
                <w:szCs w:val="22"/>
                <w:u w:val="single"/>
              </w:rPr>
              <w:t>合同签订后卖方向买方支付合同价款的5%作为履约保证金（需提供汇款凭证复印件）；履约保证金自验收合格之日起自动转为质量保证金，一年后无质量问题，资产管理处收到使用部门填写的质保期满验收单后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1539" w:hRule="atLeast"/>
          <w:jc w:val="center"/>
        </w:trPr>
        <w:tc>
          <w:tcPr>
            <w:tcW w:w="140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u w:val="none"/>
              </w:rPr>
            </w:pPr>
            <w:r>
              <w:rPr>
                <w:rFonts w:hint="eastAsia" w:ascii="宋体" w:hAnsi="宋体" w:cs="宋体"/>
                <w:b/>
                <w:bCs/>
                <w:sz w:val="22"/>
                <w:szCs w:val="22"/>
                <w:u w:val="none"/>
              </w:rPr>
              <w:t>付款条件</w:t>
            </w:r>
          </w:p>
        </w:tc>
        <w:tc>
          <w:tcPr>
            <w:tcW w:w="79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u w:val="single"/>
              </w:rPr>
            </w:pPr>
            <w:r>
              <w:rPr>
                <w:rFonts w:hint="eastAsia" w:ascii="宋体" w:hAnsi="宋体" w:eastAsia="宋体" w:cs="宋体"/>
                <w:b/>
                <w:color w:val="000000"/>
                <w:spacing w:val="-6"/>
                <w:sz w:val="22"/>
                <w:szCs w:val="22"/>
                <w:u w:val="single"/>
              </w:rPr>
              <w:t>▲</w:t>
            </w:r>
            <w:r>
              <w:rPr>
                <w:rFonts w:hint="eastAsia" w:ascii="宋体" w:hAnsi="宋体" w:eastAsia="宋体" w:cs="Times New Roman"/>
                <w:color w:val="000000"/>
                <w:spacing w:val="-6"/>
                <w:sz w:val="22"/>
                <w:szCs w:val="22"/>
                <w:u w:val="single"/>
              </w:rPr>
              <w:t>买方在卖方订购的</w:t>
            </w:r>
            <w:r>
              <w:rPr>
                <w:rFonts w:hint="eastAsia" w:ascii="宋体" w:hAnsi="宋体" w:eastAsia="宋体" w:cs="Times New Roman"/>
                <w:color w:val="000000"/>
                <w:spacing w:val="-6"/>
                <w:sz w:val="22"/>
                <w:szCs w:val="22"/>
                <w:u w:val="single"/>
                <w:lang w:eastAsia="zh-CN"/>
              </w:rPr>
              <w:t>纸质</w:t>
            </w:r>
            <w:r>
              <w:rPr>
                <w:rFonts w:hint="eastAsia" w:ascii="宋体" w:hAnsi="宋体" w:eastAsia="宋体" w:cs="Times New Roman"/>
                <w:color w:val="000000"/>
                <w:spacing w:val="-6"/>
                <w:sz w:val="22"/>
                <w:szCs w:val="22"/>
                <w:u w:val="single"/>
              </w:rPr>
              <w:t>期刊按照</w:t>
            </w:r>
            <w:r>
              <w:rPr>
                <w:rFonts w:hint="eastAsia" w:ascii="宋体" w:hAnsi="宋体" w:eastAsia="宋体" w:cs="Times New Roman"/>
                <w:color w:val="000000"/>
                <w:spacing w:val="-6"/>
                <w:sz w:val="22"/>
                <w:szCs w:val="22"/>
                <w:u w:val="single"/>
                <w:lang w:eastAsia="zh-CN"/>
              </w:rPr>
              <w:t>期刊码洋</w:t>
            </w:r>
            <w:r>
              <w:rPr>
                <w:rFonts w:hint="eastAsia" w:ascii="宋体" w:hAnsi="宋体" w:eastAsia="宋体" w:cs="Times New Roman"/>
                <w:color w:val="000000"/>
                <w:spacing w:val="-6"/>
                <w:sz w:val="22"/>
                <w:szCs w:val="22"/>
                <w:u w:val="single"/>
              </w:rPr>
              <w:t>的折扣率</w:t>
            </w:r>
            <w:r>
              <w:rPr>
                <w:rFonts w:hint="eastAsia" w:ascii="宋体" w:hAnsi="宋体" w:eastAsia="宋体" w:cs="Times New Roman"/>
                <w:color w:val="000000"/>
                <w:spacing w:val="-6"/>
                <w:sz w:val="22"/>
                <w:szCs w:val="22"/>
                <w:u w:val="single"/>
                <w:lang w:eastAsia="zh-CN"/>
              </w:rPr>
              <w:t>（以</w:t>
            </w:r>
            <w:r>
              <w:rPr>
                <w:rFonts w:hint="eastAsia" w:ascii="宋体" w:hAnsi="宋体" w:eastAsia="宋体" w:cs="Times New Roman"/>
                <w:color w:val="000000"/>
                <w:spacing w:val="-6"/>
                <w:sz w:val="22"/>
                <w:szCs w:val="22"/>
                <w:u w:val="single"/>
                <w:lang w:val="en-US" w:eastAsia="zh-CN"/>
              </w:rPr>
              <w:t>最后磋商报价</w:t>
            </w:r>
            <w:r>
              <w:rPr>
                <w:rFonts w:hint="eastAsia" w:ascii="宋体" w:hAnsi="宋体" w:eastAsia="宋体" w:cs="Times New Roman"/>
                <w:color w:val="000000"/>
                <w:spacing w:val="-6"/>
                <w:sz w:val="22"/>
                <w:szCs w:val="22"/>
                <w:u w:val="single"/>
                <w:lang w:eastAsia="zh-CN"/>
              </w:rPr>
              <w:t>为准）</w:t>
            </w:r>
            <w:r>
              <w:rPr>
                <w:rFonts w:hint="eastAsia" w:ascii="宋体" w:hAnsi="宋体" w:eastAsia="宋体" w:cs="Times New Roman"/>
                <w:color w:val="000000"/>
                <w:spacing w:val="-6"/>
                <w:sz w:val="22"/>
                <w:szCs w:val="22"/>
                <w:u w:val="single"/>
              </w:rPr>
              <w:t>结算（具体金额以实际结算为准），并在20</w:t>
            </w:r>
            <w:r>
              <w:rPr>
                <w:rFonts w:hint="eastAsia" w:ascii="宋体" w:hAnsi="宋体" w:eastAsia="宋体" w:cs="Times New Roman"/>
                <w:color w:val="000000"/>
                <w:spacing w:val="-6"/>
                <w:sz w:val="22"/>
                <w:szCs w:val="22"/>
                <w:u w:val="single"/>
                <w:lang w:val="en-US" w:eastAsia="zh-CN"/>
              </w:rPr>
              <w:t>22</w:t>
            </w:r>
            <w:r>
              <w:rPr>
                <w:rFonts w:hint="eastAsia" w:ascii="宋体" w:hAnsi="宋体" w:eastAsia="宋体" w:cs="Times New Roman"/>
                <w:color w:val="000000"/>
                <w:spacing w:val="-6"/>
                <w:sz w:val="22"/>
                <w:szCs w:val="22"/>
                <w:u w:val="single"/>
              </w:rPr>
              <w:t>年12月31日前付清所有</w:t>
            </w:r>
            <w:r>
              <w:rPr>
                <w:rFonts w:hint="eastAsia" w:ascii="宋体" w:hAnsi="宋体" w:eastAsia="宋体" w:cs="Times New Roman"/>
                <w:color w:val="000000"/>
                <w:spacing w:val="-6"/>
                <w:sz w:val="22"/>
                <w:szCs w:val="22"/>
                <w:u w:val="single"/>
                <w:lang w:eastAsia="zh-CN"/>
              </w:rPr>
              <w:t>纸质期刊</w:t>
            </w:r>
            <w:r>
              <w:rPr>
                <w:rFonts w:hint="eastAsia" w:ascii="宋体" w:hAnsi="宋体" w:eastAsia="宋体" w:cs="Times New Roman"/>
                <w:color w:val="000000"/>
                <w:spacing w:val="-6"/>
                <w:sz w:val="22"/>
                <w:szCs w:val="22"/>
                <w:u w:val="single"/>
              </w:rPr>
              <w:t>刊款（</w:t>
            </w:r>
            <w:r>
              <w:rPr>
                <w:rFonts w:hint="eastAsia" w:ascii="宋体" w:hAnsi="宋体" w:eastAsia="宋体" w:cs="Times New Roman"/>
                <w:color w:val="000000"/>
                <w:spacing w:val="-6"/>
                <w:sz w:val="22"/>
                <w:szCs w:val="22"/>
                <w:u w:val="single"/>
                <w:lang w:val="en-US" w:eastAsia="zh-CN"/>
              </w:rPr>
              <w:t>2022年</w:t>
            </w:r>
            <w:r>
              <w:rPr>
                <w:rFonts w:hint="eastAsia" w:ascii="宋体" w:hAnsi="宋体" w:eastAsia="宋体" w:cs="Times New Roman"/>
                <w:color w:val="000000"/>
                <w:spacing w:val="-6"/>
                <w:sz w:val="22"/>
                <w:szCs w:val="22"/>
                <w:u w:val="single"/>
              </w:rPr>
              <w:t>临时添订的除外）。</w:t>
            </w:r>
            <w:r>
              <w:rPr>
                <w:rFonts w:hint="eastAsia" w:ascii="宋体" w:hAnsi="宋体" w:eastAsia="宋体" w:cs="Times New Roman"/>
                <w:color w:val="000000"/>
                <w:spacing w:val="-6"/>
                <w:sz w:val="22"/>
                <w:szCs w:val="22"/>
                <w:u w:val="single"/>
                <w:lang w:val="en-US" w:eastAsia="zh-CN"/>
              </w:rPr>
              <w:t>卖方需</w:t>
            </w:r>
            <w:r>
              <w:rPr>
                <w:rFonts w:hint="eastAsia" w:ascii="宋体" w:hAnsi="宋体" w:eastAsia="宋体" w:cs="Times New Roman"/>
                <w:color w:val="000000"/>
                <w:spacing w:val="-6"/>
                <w:sz w:val="22"/>
                <w:szCs w:val="22"/>
                <w:u w:val="single"/>
              </w:rPr>
              <w:t>开具</w:t>
            </w:r>
            <w:r>
              <w:rPr>
                <w:rFonts w:hint="eastAsia" w:ascii="宋体" w:hAnsi="宋体" w:eastAsia="宋体" w:cs="Times New Roman"/>
                <w:color w:val="000000"/>
                <w:spacing w:val="-6"/>
                <w:sz w:val="22"/>
                <w:szCs w:val="22"/>
                <w:u w:val="single"/>
                <w:lang w:eastAsia="zh-CN"/>
              </w:rPr>
              <w:t>结算</w:t>
            </w:r>
            <w:r>
              <w:rPr>
                <w:rFonts w:hint="eastAsia" w:ascii="宋体" w:hAnsi="宋体" w:eastAsia="宋体" w:cs="Times New Roman"/>
                <w:color w:val="000000"/>
                <w:spacing w:val="-6"/>
                <w:sz w:val="22"/>
                <w:szCs w:val="22"/>
                <w:u w:val="single"/>
              </w:rPr>
              <w:t>金额100%的增值税专用发票，买方入库报销后15个工作日内，买方向卖方支付100%</w:t>
            </w:r>
            <w:r>
              <w:rPr>
                <w:rFonts w:hint="eastAsia" w:ascii="宋体" w:hAnsi="宋体" w:eastAsia="宋体" w:cs="Times New Roman"/>
                <w:color w:val="000000"/>
                <w:spacing w:val="-6"/>
                <w:sz w:val="22"/>
                <w:szCs w:val="22"/>
                <w:u w:val="single"/>
                <w:lang w:eastAsia="zh-CN"/>
              </w:rPr>
              <w:t>结算</w:t>
            </w:r>
            <w:r>
              <w:rPr>
                <w:rFonts w:hint="eastAsia" w:ascii="宋体" w:hAnsi="宋体" w:eastAsia="宋体" w:cs="Times New Roman"/>
                <w:color w:val="000000"/>
                <w:spacing w:val="-6"/>
                <w:sz w:val="22"/>
                <w:szCs w:val="22"/>
                <w:u w:val="single"/>
              </w:rPr>
              <w:t>价款。如遇不可抗力因素不能按时付款，双方协商解决。</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u w:val="none"/>
                <w:lang w:eastAsia="zh-CN"/>
              </w:rPr>
            </w:pPr>
            <w:r>
              <w:rPr>
                <w:rFonts w:hint="eastAsia" w:ascii="宋体" w:hAnsi="宋体" w:eastAsia="宋体" w:cs="宋体"/>
                <w:color w:val="000000"/>
                <w:sz w:val="22"/>
                <w:szCs w:val="22"/>
                <w:u w:val="none"/>
                <w:lang w:eastAsia="zh-CN"/>
              </w:rPr>
              <w:t>注：</w:t>
            </w:r>
            <w:r>
              <w:rPr>
                <w:rFonts w:hint="eastAsia" w:ascii="宋体" w:hAnsi="宋体" w:eastAsia="宋体" w:cs="Times New Roman"/>
                <w:color w:val="000000"/>
                <w:spacing w:val="-6"/>
                <w:sz w:val="22"/>
                <w:szCs w:val="22"/>
                <w:u w:val="none"/>
                <w:lang w:eastAsia="zh-CN"/>
              </w:rPr>
              <w:t>纸质</w:t>
            </w:r>
            <w:r>
              <w:rPr>
                <w:rFonts w:hint="eastAsia" w:ascii="宋体" w:hAnsi="宋体" w:eastAsia="宋体" w:cs="宋体"/>
                <w:color w:val="000000"/>
                <w:sz w:val="22"/>
                <w:szCs w:val="22"/>
                <w:u w:val="none"/>
              </w:rPr>
              <w:t>期刊实际结算价=码洋价×供应商实际报价折扣率，且实际结算总金额不得高于预算金额。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54" w:hRule="atLeast"/>
          <w:jc w:val="center"/>
        </w:trPr>
        <w:tc>
          <w:tcPr>
            <w:tcW w:w="140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sz w:val="22"/>
                <w:szCs w:val="22"/>
              </w:rPr>
              <w:t>交付时间</w:t>
            </w:r>
          </w:p>
        </w:tc>
        <w:tc>
          <w:tcPr>
            <w:tcW w:w="79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exact"/>
              <w:jc w:val="left"/>
              <w:rPr>
                <w:rFonts w:hint="eastAsia" w:ascii="宋体" w:hAnsi="宋体" w:eastAsia="宋体" w:cs="宋体"/>
                <w:bCs/>
                <w:color w:val="000000"/>
                <w:kern w:val="0"/>
                <w:sz w:val="22"/>
                <w:szCs w:val="22"/>
              </w:rPr>
            </w:pPr>
            <w:r>
              <w:rPr>
                <w:rFonts w:hint="eastAsia" w:ascii="宋体" w:hAnsi="宋体" w:eastAsia="宋体" w:cs="宋体"/>
                <w:sz w:val="22"/>
                <w:szCs w:val="22"/>
              </w:rPr>
              <w:t>按采购人指定时间进行送货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54" w:hRule="atLeast"/>
          <w:jc w:val="center"/>
        </w:trPr>
        <w:tc>
          <w:tcPr>
            <w:tcW w:w="140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sz w:val="22"/>
                <w:szCs w:val="22"/>
              </w:rPr>
              <w:t>交付地点</w:t>
            </w:r>
          </w:p>
        </w:tc>
        <w:tc>
          <w:tcPr>
            <w:tcW w:w="79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60" w:lineRule="exact"/>
              <w:jc w:val="left"/>
              <w:rPr>
                <w:rFonts w:hint="eastAsia" w:ascii="宋体" w:hAnsi="宋体" w:eastAsia="宋体" w:cs="宋体"/>
                <w:bCs/>
                <w:kern w:val="0"/>
                <w:sz w:val="22"/>
                <w:szCs w:val="22"/>
              </w:rPr>
            </w:pPr>
            <w:r>
              <w:rPr>
                <w:rFonts w:hint="eastAsia" w:ascii="宋体" w:hAnsi="宋体" w:eastAsia="宋体" w:cs="宋体"/>
                <w:sz w:val="22"/>
                <w:szCs w:val="22"/>
              </w:rPr>
              <w:t>采购人指定的地点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54" w:hRule="atLeast"/>
          <w:jc w:val="center"/>
        </w:trPr>
        <w:tc>
          <w:tcPr>
            <w:tcW w:w="140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r>
              <w:rPr>
                <w:rFonts w:hint="eastAsia" w:ascii="宋体" w:hAnsi="宋体" w:eastAsia="宋体" w:cs="宋体"/>
                <w:b/>
                <w:bCs/>
                <w:sz w:val="22"/>
                <w:szCs w:val="22"/>
              </w:rPr>
              <w:t>服务效率</w:t>
            </w:r>
          </w:p>
        </w:tc>
        <w:tc>
          <w:tcPr>
            <w:tcW w:w="7930"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left="0" w:leftChars="0" w:firstLine="0" w:firstLineChars="0"/>
              <w:jc w:val="left"/>
              <w:textAlignment w:val="baseline"/>
              <w:rPr>
                <w:rFonts w:hint="eastAsia" w:ascii="宋体" w:hAnsi="宋体" w:eastAsia="宋体" w:cs="宋体"/>
                <w:kern w:val="2"/>
                <w:sz w:val="22"/>
                <w:szCs w:val="22"/>
                <w:lang w:val="zh-CN" w:eastAsia="zh-CN" w:bidi="ar-SA"/>
              </w:rPr>
            </w:pPr>
            <w:r>
              <w:rPr>
                <w:rFonts w:hint="eastAsia" w:ascii="宋体" w:hAnsi="宋体" w:eastAsia="宋体" w:cs="宋体"/>
                <w:color w:val="auto"/>
                <w:kern w:val="0"/>
                <w:sz w:val="22"/>
                <w:szCs w:val="22"/>
              </w:rPr>
              <w:t>合同货物出现问题后，</w:t>
            </w:r>
            <w:r>
              <w:rPr>
                <w:rFonts w:hint="eastAsia" w:ascii="宋体" w:hAnsi="宋体" w:eastAsia="宋体" w:cs="宋体"/>
                <w:color w:val="auto"/>
                <w:kern w:val="0"/>
                <w:sz w:val="22"/>
                <w:szCs w:val="22"/>
                <w:lang w:eastAsia="zh-CN"/>
              </w:rPr>
              <w:t>成交</w:t>
            </w:r>
            <w:r>
              <w:rPr>
                <w:rFonts w:hint="eastAsia" w:ascii="宋体" w:hAnsi="宋体" w:eastAsia="宋体" w:cs="宋体"/>
                <w:color w:val="auto"/>
                <w:kern w:val="0"/>
                <w:sz w:val="22"/>
                <w:szCs w:val="22"/>
              </w:rPr>
              <w:t>供应商接到采购人通知应在不超过2小时内做出响应，不超过2个工作日内解决问题。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54" w:hRule="atLeast"/>
          <w:jc w:val="center"/>
        </w:trPr>
        <w:tc>
          <w:tcPr>
            <w:tcW w:w="140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szCs w:val="22"/>
              </w:rPr>
              <w:t>到刊率</w:t>
            </w:r>
          </w:p>
        </w:tc>
        <w:tc>
          <w:tcPr>
            <w:tcW w:w="7930"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left="0" w:leftChars="0" w:firstLine="0" w:firstLineChars="0"/>
              <w:jc w:val="left"/>
              <w:textAlignment w:val="baseline"/>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保证不低于98%的订到率和95%以上到刊完整率。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454" w:hRule="atLeast"/>
          <w:jc w:val="center"/>
        </w:trPr>
        <w:tc>
          <w:tcPr>
            <w:tcW w:w="140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lang w:eastAsia="zh-CN"/>
              </w:rPr>
            </w:pPr>
            <w:r>
              <w:rPr>
                <w:rFonts w:hint="eastAsia" w:ascii="宋体" w:hAnsi="宋体" w:eastAsia="宋体" w:cs="宋体"/>
                <w:b/>
                <w:bCs/>
                <w:sz w:val="22"/>
                <w:szCs w:val="22"/>
              </w:rPr>
              <w:t>验收和结算方式</w:t>
            </w:r>
          </w:p>
        </w:tc>
        <w:tc>
          <w:tcPr>
            <w:tcW w:w="79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凡交到采购人的期刊，以期刊定价作为计算期刊款的依据，经验收发现期刊款与发货单不符的，采购人应及时通知供应商进行核算，供应商接到通知之日起10个工作日内不能回复确认的，以采购人验收的实际数额计算期刊款金额。</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2）期刊验收无误后，采购人与供应商按以下条件与采购人结算：</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采购人根据每年实际收到期刊种数及份数与供应商结算期刊金额，成交供应商提供增值税专用发票。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lang w:val="en-US" w:eastAsia="zh-CN"/>
              </w:rPr>
            </w:pPr>
            <w:r>
              <w:rPr>
                <w:rFonts w:hint="eastAsia" w:ascii="宋体" w:hAnsi="宋体" w:eastAsia="宋体" w:cs="宋体"/>
                <w:color w:val="000000"/>
                <w:kern w:val="2"/>
                <w:sz w:val="21"/>
                <w:lang w:val="en-US" w:eastAsia="zh-CN" w:bidi="ar-SA"/>
              </w:rPr>
              <w:t>3)鉴于</w:t>
            </w:r>
            <w:r>
              <w:rPr>
                <w:rFonts w:hint="eastAsia" w:ascii="宋体" w:hAnsi="宋体" w:eastAsia="宋体" w:cs="宋体"/>
                <w:color w:val="000000"/>
                <w:lang w:val="en-US" w:eastAsia="zh-CN"/>
              </w:rPr>
              <w:t>期刊</w:t>
            </w:r>
            <w:r>
              <w:rPr>
                <w:rFonts w:hint="eastAsia" w:ascii="宋体" w:hAnsi="宋体" w:eastAsia="宋体" w:cs="宋体"/>
                <w:color w:val="000000"/>
                <w:kern w:val="2"/>
                <w:sz w:val="21"/>
                <w:lang w:val="en-US" w:eastAsia="zh-CN" w:bidi="ar-SA"/>
              </w:rPr>
              <w:t>征订后陆续供货，具有连续性和时滞性，需于次年缺刊统计完成并退还相应缺刊款后，供应商方能申请退还质保金。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4" w:type="dxa"/>
            <w:vMerge w:val="restart"/>
            <w:tcBorders>
              <w:top w:val="single" w:color="auto" w:sz="4" w:space="0"/>
              <w:left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lang w:eastAsia="zh-CN"/>
              </w:rPr>
            </w:pPr>
            <w:r>
              <w:rPr>
                <w:rFonts w:hint="eastAsia" w:ascii="宋体" w:hAnsi="宋体" w:cs="宋体"/>
                <w:b/>
                <w:bCs/>
                <w:sz w:val="22"/>
                <w:szCs w:val="22"/>
                <w:lang w:eastAsia="zh-CN"/>
              </w:rPr>
              <w:t>服务标准</w:t>
            </w: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r>
              <w:rPr>
                <w:rFonts w:hint="eastAsia" w:ascii="宋体" w:hAnsi="宋体" w:eastAsia="宋体" w:cs="宋体"/>
                <w:b/>
                <w:bCs/>
                <w:sz w:val="22"/>
                <w:szCs w:val="22"/>
              </w:rPr>
              <w:t>后台服务系统</w:t>
            </w:r>
          </w:p>
        </w:tc>
        <w:tc>
          <w:tcPr>
            <w:tcW w:w="6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rPr>
                <w:rFonts w:hint="eastAsia" w:ascii="宋体" w:hAnsi="宋体" w:cs="宋体"/>
                <w:sz w:val="22"/>
                <w:szCs w:val="22"/>
              </w:rPr>
            </w:pPr>
            <w:r>
              <w:rPr>
                <w:rFonts w:hint="eastAsia" w:ascii="宋体" w:hAnsi="宋体" w:eastAsia="宋体" w:cs="宋体"/>
                <w:sz w:val="22"/>
                <w:szCs w:val="22"/>
                <w:lang w:val="zh-CN"/>
              </w:rPr>
              <w:t>有期刊订购系统，可按邮发、非邮发、核心、非核心、邮发代号、报刊名称等检索条件进行检索及报订，有期刊查询系统，系统中需包含订刊到刊信息、信息变更、撤补订信息、补发刊信息、发货信息,并能随时监测到本馆的期刊送货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4" w:type="dxa"/>
            <w:vMerge w:val="continue"/>
            <w:tcBorders>
              <w:left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r>
              <w:rPr>
                <w:rFonts w:hint="eastAsia" w:ascii="宋体" w:hAnsi="宋体" w:eastAsia="宋体" w:cs="宋体"/>
                <w:b/>
                <w:bCs/>
                <w:sz w:val="22"/>
                <w:szCs w:val="22"/>
              </w:rPr>
              <w:t>特色服务</w:t>
            </w:r>
          </w:p>
        </w:tc>
        <w:tc>
          <w:tcPr>
            <w:tcW w:w="6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left"/>
              <w:rPr>
                <w:rFonts w:hint="eastAsia" w:ascii="宋体" w:hAnsi="宋体" w:eastAsia="宋体" w:cs="宋体"/>
                <w:sz w:val="22"/>
                <w:szCs w:val="22"/>
                <w:lang w:val="zh-CN"/>
              </w:rPr>
            </w:pPr>
            <w:r>
              <w:rPr>
                <w:rFonts w:hint="eastAsia" w:ascii="宋体" w:hAnsi="宋体" w:eastAsia="宋体" w:cs="宋体"/>
                <w:sz w:val="22"/>
                <w:szCs w:val="22"/>
                <w:lang w:val="zh-CN"/>
              </w:rPr>
              <w:t>为用户的馆藏建设提供其它特色服务，且具有实际意义，包括协助采购方举办专家讲座等活动的能力。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1" w:hRule="atLeast"/>
          <w:jc w:val="center"/>
        </w:trPr>
        <w:tc>
          <w:tcPr>
            <w:tcW w:w="1214" w:type="dxa"/>
            <w:vMerge w:val="continue"/>
            <w:tcBorders>
              <w:left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r>
              <w:rPr>
                <w:rFonts w:hint="eastAsia" w:ascii="宋体" w:hAnsi="宋体" w:eastAsia="宋体" w:cs="宋体"/>
                <w:b/>
                <w:bCs/>
                <w:sz w:val="22"/>
                <w:szCs w:val="22"/>
              </w:rPr>
              <w:t>售后服务和售后服务机构</w:t>
            </w:r>
          </w:p>
        </w:tc>
        <w:tc>
          <w:tcPr>
            <w:tcW w:w="662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sz w:val="22"/>
                <w:szCs w:val="22"/>
                <w:lang w:val="zh-CN"/>
              </w:rPr>
            </w:pPr>
            <w:r>
              <w:rPr>
                <w:rFonts w:hint="eastAsia" w:ascii="宋体" w:hAnsi="宋体" w:eastAsia="宋体" w:cs="宋体"/>
                <w:kern w:val="2"/>
                <w:sz w:val="22"/>
                <w:szCs w:val="22"/>
                <w:lang w:val="zh-CN" w:eastAsia="zh-CN" w:bidi="ar-SA"/>
              </w:rPr>
              <w:t>要求能够充分履行售后服务承诺的内容、程序、实施条件，具有保证本地化服务的能力，公司或分公司注册在浙江省内，能及时提供本地化售后服务。（公司或分公司以营业执照为准，复印件加盖公章）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4" w:type="dxa"/>
            <w:vMerge w:val="continue"/>
            <w:tcBorders>
              <w:left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r>
              <w:rPr>
                <w:rFonts w:hint="eastAsia" w:ascii="宋体" w:hAnsi="宋体" w:eastAsia="宋体" w:cs="宋体"/>
                <w:b/>
                <w:bCs/>
                <w:sz w:val="22"/>
                <w:szCs w:val="22"/>
              </w:rPr>
              <w:t>配送时效性</w:t>
            </w:r>
          </w:p>
        </w:tc>
        <w:tc>
          <w:tcPr>
            <w:tcW w:w="662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根据集订分送原则，及时、定期向图书馆送货到指定人签收，同时提供发货清单；送至图书馆的时间和发刊率根据图书馆要求确定。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4" w:type="dxa"/>
            <w:vMerge w:val="continue"/>
            <w:tcBorders>
              <w:left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r>
              <w:rPr>
                <w:rFonts w:hint="eastAsia" w:ascii="宋体" w:hAnsi="宋体" w:eastAsia="宋体" w:cs="宋体"/>
                <w:b/>
                <w:bCs/>
                <w:sz w:val="22"/>
                <w:szCs w:val="22"/>
              </w:rPr>
              <w:t>电子化订单管理</w:t>
            </w:r>
          </w:p>
        </w:tc>
        <w:tc>
          <w:tcPr>
            <w:tcW w:w="662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通过其网站或email提供征订期刊目录，内容包括刊名、邮发代号、出版频率、年价、分类号、内容简介等，有变动更名的情况，征订目录上能够标明新刊内容是否延续原刊等信息。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4" w:type="dxa"/>
            <w:vMerge w:val="continue"/>
            <w:tcBorders>
              <w:left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r>
              <w:rPr>
                <w:rFonts w:hint="eastAsia" w:ascii="宋体" w:hAnsi="宋体" w:eastAsia="宋体" w:cs="宋体"/>
                <w:b/>
                <w:bCs/>
                <w:sz w:val="22"/>
                <w:szCs w:val="22"/>
              </w:rPr>
              <w:t>增值服务</w:t>
            </w:r>
          </w:p>
        </w:tc>
        <w:tc>
          <w:tcPr>
            <w:tcW w:w="662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提供其征订目录以外普通高校图书馆急需的少数期刊以及提供一站式服务；提供常年征订、退订服务；免费提供期刊编目标准MARC数据。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4" w:type="dxa"/>
            <w:vMerge w:val="continue"/>
            <w:tcBorders>
              <w:left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r>
              <w:rPr>
                <w:rFonts w:hint="eastAsia" w:ascii="宋体" w:hAnsi="宋体" w:eastAsia="宋体" w:cs="宋体"/>
                <w:b/>
                <w:bCs/>
                <w:sz w:val="22"/>
                <w:szCs w:val="22"/>
                <w:lang w:val="zh-CN"/>
              </w:rPr>
              <w:t>补缺服务</w:t>
            </w:r>
          </w:p>
        </w:tc>
        <w:tc>
          <w:tcPr>
            <w:tcW w:w="662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对图书馆的催缺请求需在</w:t>
            </w:r>
            <w:r>
              <w:rPr>
                <w:rFonts w:hint="eastAsia" w:ascii="宋体" w:hAnsi="宋体" w:eastAsia="宋体" w:cs="宋体"/>
                <w:kern w:val="2"/>
                <w:sz w:val="22"/>
                <w:szCs w:val="22"/>
                <w:lang w:val="en-US" w:eastAsia="zh-CN" w:bidi="ar-SA"/>
              </w:rPr>
              <w:t>1个</w:t>
            </w:r>
            <w:r>
              <w:rPr>
                <w:rFonts w:hint="eastAsia" w:ascii="宋体" w:hAnsi="宋体" w:eastAsia="宋体" w:cs="宋体"/>
                <w:kern w:val="2"/>
                <w:sz w:val="22"/>
                <w:szCs w:val="22"/>
                <w:lang w:val="zh-CN" w:eastAsia="zh-CN" w:bidi="ar-SA"/>
              </w:rPr>
              <w:t>工作日内响应，对于未能补缺的期刊需提供复制服务，并退还相应缺到刊物款项。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4" w:type="dxa"/>
            <w:vMerge w:val="continue"/>
            <w:tcBorders>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
                <w:bCs/>
                <w:sz w:val="22"/>
                <w:szCs w:val="22"/>
                <w:lang w:val="zh-CN"/>
              </w:rPr>
            </w:pPr>
            <w:r>
              <w:rPr>
                <w:rFonts w:hint="eastAsia" w:ascii="宋体" w:hAnsi="宋体" w:eastAsia="宋体" w:cs="宋体"/>
                <w:b/>
                <w:bCs/>
                <w:sz w:val="22"/>
                <w:szCs w:val="22"/>
                <w:lang w:val="en-US" w:eastAsia="zh-CN"/>
              </w:rPr>
              <w:t>通知服务</w:t>
            </w:r>
          </w:p>
        </w:tc>
        <w:tc>
          <w:tcPr>
            <w:tcW w:w="662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spacing w:line="360" w:lineRule="exact"/>
              <w:jc w:val="left"/>
              <w:textAlignment w:val="baseline"/>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订购期刊如发生出版频率变化、更名或停刊时，应以清单、邮件、电话或者传真等具体形式通知采购人员。</w:t>
            </w:r>
          </w:p>
        </w:tc>
      </w:tr>
    </w:tbl>
    <w:p>
      <w:pPr>
        <w:numPr>
          <w:ilvl w:val="0"/>
          <w:numId w:val="1"/>
        </w:numPr>
        <w:snapToGrid w:val="0"/>
        <w:spacing w:line="360" w:lineRule="exact"/>
        <w:rPr>
          <w:rFonts w:hint="eastAsia" w:ascii="宋体" w:hAnsi="宋体" w:cs="宋体"/>
          <w:b/>
          <w:bCs/>
          <w:spacing w:val="-6"/>
          <w:sz w:val="22"/>
          <w:szCs w:val="22"/>
        </w:rPr>
      </w:pPr>
      <w:r>
        <w:rPr>
          <w:rFonts w:hint="eastAsia" w:ascii="宋体" w:hAnsi="宋体" w:cs="宋体"/>
          <w:b/>
          <w:bCs/>
          <w:spacing w:val="-6"/>
          <w:sz w:val="22"/>
          <w:szCs w:val="22"/>
        </w:rPr>
        <w:t>技术要求</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rPr>
        <w:t>采购方式</w:t>
      </w:r>
      <w:r>
        <w:rPr>
          <w:rFonts w:hint="eastAsia" w:ascii="宋体" w:hAnsi="宋体" w:eastAsia="宋体" w:cs="宋体"/>
          <w:sz w:val="22"/>
          <w:szCs w:val="22"/>
        </w:rPr>
        <w:tab/>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1）供应商在最大范围内为采购方征集新刊出版、期刊目录，提高采购效率。</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2）供应商需向采购方提供202</w:t>
      </w:r>
      <w:r>
        <w:rPr>
          <w:rFonts w:hint="eastAsia" w:ascii="宋体" w:hAnsi="宋体" w:eastAsia="宋体" w:cs="宋体"/>
          <w:sz w:val="22"/>
          <w:szCs w:val="22"/>
          <w:lang w:val="en-US" w:eastAsia="zh-CN"/>
        </w:rPr>
        <w:t>2</w:t>
      </w:r>
      <w:r>
        <w:rPr>
          <w:rFonts w:hint="eastAsia" w:ascii="宋体" w:hAnsi="宋体" w:eastAsia="宋体" w:cs="宋体"/>
          <w:sz w:val="22"/>
          <w:szCs w:val="22"/>
        </w:rPr>
        <w:t>年中国邮政出版的邮发报刊简明目录、202</w:t>
      </w:r>
      <w:r>
        <w:rPr>
          <w:rFonts w:hint="eastAsia" w:ascii="宋体" w:hAnsi="宋体" w:eastAsia="宋体" w:cs="宋体"/>
          <w:sz w:val="22"/>
          <w:szCs w:val="22"/>
          <w:lang w:val="en-US" w:eastAsia="zh-CN"/>
        </w:rPr>
        <w:t>2</w:t>
      </w:r>
      <w:r>
        <w:rPr>
          <w:rFonts w:hint="eastAsia" w:ascii="宋体" w:hAnsi="宋体" w:eastAsia="宋体" w:cs="宋体"/>
          <w:sz w:val="22"/>
          <w:szCs w:val="22"/>
        </w:rPr>
        <w:t>年全国非邮发报刊联合目录、202</w:t>
      </w:r>
      <w:r>
        <w:rPr>
          <w:rFonts w:hint="eastAsia" w:ascii="宋体" w:hAnsi="宋体" w:eastAsia="宋体" w:cs="宋体"/>
          <w:sz w:val="22"/>
          <w:szCs w:val="22"/>
          <w:lang w:val="en-US" w:eastAsia="zh-CN"/>
        </w:rPr>
        <w:t>2</w:t>
      </w:r>
      <w:r>
        <w:rPr>
          <w:rFonts w:hint="eastAsia" w:ascii="宋体" w:hAnsi="宋体" w:eastAsia="宋体" w:cs="宋体"/>
          <w:sz w:val="22"/>
          <w:szCs w:val="22"/>
        </w:rPr>
        <w:t>年人大《复印报刊资料》目录</w:t>
      </w:r>
      <w:r>
        <w:rPr>
          <w:rFonts w:hint="eastAsia" w:ascii="宋体" w:hAnsi="宋体" w:eastAsia="宋体" w:cs="宋体"/>
          <w:sz w:val="22"/>
          <w:szCs w:val="22"/>
          <w:lang w:val="en-US" w:eastAsia="zh-CN"/>
        </w:rPr>
        <w:t>等</w:t>
      </w:r>
      <w:r>
        <w:rPr>
          <w:rFonts w:hint="eastAsia" w:ascii="宋体" w:hAnsi="宋体" w:eastAsia="宋体" w:cs="宋体"/>
          <w:sz w:val="22"/>
          <w:szCs w:val="22"/>
        </w:rPr>
        <w:t>，供应商按需方的订购单提供正版期刊。</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3）供应商应提供规范的期刊征订书目数据和机读预编目数据(数据要求参见《中国机读目录格式使用手册》，《CALIS联机合作编目手册》),并且其数据须完全符合需方集成管理系统的格式及运行要求，提供的所有数据都能在需方系统无障碍的使用。</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rPr>
        <w:t>4）供应商能提供符合国家财税法律规定制度要求的售刊发票</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5）其它方式：随时进行期刊增订、补订等工作。</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rPr>
        <w:t>送刊方式</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1）供应商根据采购人要求期刊量配刊，由供应商负责妥善包装，运输途中出现的任何意外采购人不承担任何责任，发生的损失由供应商承担。</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2）期刊须按采购人要求发往采购人指定的地点和收货人，由供应商承担运输费用。</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3）送刊时必须提供</w:t>
      </w:r>
      <w:r>
        <w:rPr>
          <w:rFonts w:hint="eastAsia" w:ascii="宋体" w:hAnsi="宋体" w:eastAsia="宋体" w:cs="宋体"/>
          <w:sz w:val="22"/>
          <w:szCs w:val="22"/>
          <w:lang w:eastAsia="zh-CN"/>
        </w:rPr>
        <w:t>二联</w:t>
      </w:r>
      <w:r>
        <w:rPr>
          <w:rFonts w:hint="eastAsia" w:ascii="宋体" w:hAnsi="宋体" w:eastAsia="宋体" w:cs="宋体"/>
          <w:sz w:val="22"/>
          <w:szCs w:val="22"/>
        </w:rPr>
        <w:t>打印清单,期刊应按清单顺序放置打包。内容包括发货日期、批次、邮发号、刊名、期次、份数、总种数、总份数、总价</w:t>
      </w:r>
      <w:r>
        <w:rPr>
          <w:rFonts w:hint="eastAsia" w:ascii="宋体" w:hAnsi="宋体" w:eastAsia="宋体" w:cs="宋体"/>
          <w:sz w:val="22"/>
          <w:szCs w:val="22"/>
          <w:lang w:eastAsia="zh-CN"/>
        </w:rPr>
        <w:t>等</w:t>
      </w:r>
      <w:r>
        <w:rPr>
          <w:rFonts w:hint="eastAsia" w:ascii="宋体" w:hAnsi="宋体" w:eastAsia="宋体" w:cs="宋体"/>
          <w:sz w:val="22"/>
          <w:szCs w:val="22"/>
        </w:rPr>
        <w:t>，方便采购人验收。</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4）供货商需保证固定每周一次送刊。</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w:t>
      </w:r>
      <w:r>
        <w:rPr>
          <w:rFonts w:hint="eastAsia" w:ascii="宋体" w:hAnsi="宋体" w:eastAsia="宋体" w:cs="宋体"/>
          <w:sz w:val="22"/>
          <w:szCs w:val="22"/>
        </w:rPr>
        <w:t>质量要求</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1）提供采购数据：供应商必须为买方提供品种齐全的期刊电子版订单或纸质征订目录。</w:t>
      </w:r>
      <w:r>
        <w:rPr>
          <w:rFonts w:hint="eastAsia" w:ascii="宋体" w:hAnsi="宋体" w:eastAsia="宋体" w:cs="宋体"/>
          <w:color w:val="auto"/>
          <w:spacing w:val="-6"/>
          <w:sz w:val="22"/>
          <w:szCs w:val="22"/>
          <w:highlight w:val="none"/>
        </w:rPr>
        <w:t>（提供外文期刊要有中英文对照目录）</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2）提供编目数据：供应商在该年度全部期刊征订截止期后须向买方提供规范的机读编目数据。图书分类法应采用现行中图法的最新版本。供应商提供的CNMARC编目数据须依据CALIS标准。各种数据可用电子邮件方式提供，供采购人免费利用。</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 xml:space="preserve">3）提供加工服务：供应商必须有期刊加工的能力，供货商需按采购人的要求提供下列服务: </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A</w:t>
      </w:r>
      <w:r>
        <w:rPr>
          <w:rFonts w:hint="eastAsia" w:ascii="宋体" w:hAnsi="宋体" w:eastAsia="宋体" w:cs="宋体"/>
          <w:sz w:val="22"/>
          <w:szCs w:val="22"/>
          <w:lang w:val="en-US" w:eastAsia="zh-CN"/>
        </w:rPr>
        <w:t>.</w:t>
      </w:r>
      <w:r>
        <w:rPr>
          <w:rFonts w:hint="eastAsia" w:ascii="宋体" w:hAnsi="宋体" w:eastAsia="宋体" w:cs="宋体"/>
          <w:sz w:val="22"/>
          <w:szCs w:val="22"/>
        </w:rPr>
        <w:t>为所购的每本期刊夹贴16cm复合钴基可充消性磁条1条，磁条由供应商负责。</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B</w:t>
      </w:r>
      <w:r>
        <w:rPr>
          <w:rFonts w:hint="eastAsia" w:ascii="宋体" w:hAnsi="宋体" w:eastAsia="宋体" w:cs="宋体"/>
          <w:sz w:val="22"/>
          <w:szCs w:val="22"/>
          <w:lang w:val="en-US" w:eastAsia="zh-CN"/>
        </w:rPr>
        <w:t>.</w:t>
      </w:r>
      <w:r>
        <w:rPr>
          <w:rFonts w:hint="eastAsia" w:ascii="宋体" w:hAnsi="宋体" w:eastAsia="宋体" w:cs="宋体"/>
          <w:sz w:val="22"/>
          <w:szCs w:val="22"/>
        </w:rPr>
        <w:t>对夹贴磁条后的期刊要进行复查，确保无遗漏。</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C</w:t>
      </w:r>
      <w:r>
        <w:rPr>
          <w:rFonts w:hint="eastAsia" w:ascii="宋体" w:hAnsi="宋体" w:eastAsia="宋体" w:cs="宋体"/>
          <w:sz w:val="22"/>
          <w:szCs w:val="22"/>
          <w:lang w:val="en-US" w:eastAsia="zh-CN"/>
        </w:rPr>
        <w:t>.</w:t>
      </w:r>
      <w:r>
        <w:rPr>
          <w:rFonts w:hint="eastAsia" w:ascii="宋体" w:hAnsi="宋体" w:eastAsia="宋体" w:cs="宋体"/>
          <w:sz w:val="22"/>
          <w:szCs w:val="22"/>
        </w:rPr>
        <w:t>对较厚期刊需加装二根以上磁条。磁条必须夹贴在任意两页间的脊缝处。</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D</w:t>
      </w:r>
      <w:r>
        <w:rPr>
          <w:rFonts w:hint="eastAsia" w:ascii="宋体" w:hAnsi="宋体" w:eastAsia="宋体" w:cs="宋体"/>
          <w:sz w:val="22"/>
          <w:szCs w:val="22"/>
          <w:lang w:val="en-US" w:eastAsia="zh-CN"/>
        </w:rPr>
        <w:t>.</w:t>
      </w:r>
      <w:r>
        <w:rPr>
          <w:rFonts w:hint="eastAsia" w:ascii="宋体" w:hAnsi="宋体" w:eastAsia="宋体" w:cs="宋体"/>
          <w:sz w:val="22"/>
          <w:szCs w:val="22"/>
        </w:rPr>
        <w:t>加盖馆藏章</w:t>
      </w:r>
      <w:r>
        <w:rPr>
          <w:rFonts w:hint="eastAsia" w:ascii="宋体" w:hAnsi="宋体" w:eastAsia="宋体" w:cs="宋体"/>
          <w:sz w:val="22"/>
          <w:szCs w:val="22"/>
          <w:lang w:eastAsia="zh-CN"/>
        </w:rPr>
        <w:t>。</w:t>
      </w:r>
      <w:r>
        <w:rPr>
          <w:rFonts w:hint="eastAsia" w:ascii="宋体" w:hAnsi="宋体" w:eastAsia="宋体" w:cs="宋体"/>
          <w:sz w:val="22"/>
          <w:szCs w:val="22"/>
        </w:rPr>
        <w:t>馆藏章由采购人提供样章。</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E</w:t>
      </w:r>
      <w:r>
        <w:rPr>
          <w:rFonts w:hint="eastAsia" w:ascii="宋体" w:hAnsi="宋体" w:eastAsia="宋体" w:cs="宋体"/>
          <w:sz w:val="22"/>
          <w:szCs w:val="22"/>
          <w:lang w:val="en-US" w:eastAsia="zh-CN"/>
        </w:rPr>
        <w:t>.</w:t>
      </w:r>
      <w:r>
        <w:rPr>
          <w:rFonts w:hint="eastAsia" w:ascii="宋体" w:hAnsi="宋体" w:eastAsia="宋体" w:cs="宋体"/>
          <w:sz w:val="22"/>
          <w:szCs w:val="22"/>
        </w:rPr>
        <w:t>盖章前必须对期刊进行检查，如发现残破、污损、倒装、缺页、漏白等印刷质量问题须及时更换后再盖章。负责退换、补配因印刷原因或缺附件及供应商运输原因造成错装、损坏等质量不合格的期刊，以及与订单不符的期刊，不能以已加工为理由拒绝，由此造成的各项费用全部由供应商承担。</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F</w:t>
      </w:r>
      <w:r>
        <w:rPr>
          <w:rFonts w:hint="eastAsia" w:ascii="宋体" w:hAnsi="宋体" w:eastAsia="宋体" w:cs="宋体"/>
          <w:sz w:val="22"/>
          <w:szCs w:val="22"/>
          <w:lang w:val="en-US" w:eastAsia="zh-CN"/>
        </w:rPr>
        <w:t>.</w:t>
      </w:r>
      <w:r>
        <w:rPr>
          <w:rFonts w:hint="eastAsia" w:ascii="宋体" w:hAnsi="宋体" w:eastAsia="宋体" w:cs="宋体"/>
          <w:sz w:val="22"/>
          <w:szCs w:val="22"/>
        </w:rPr>
        <w:t>馆藏章须盖在每本刊封面右下角的位置与刊内的第九内页的右下角,如该位置有文字或图像,则做适当调整,但不得覆盖文字或图像</w:t>
      </w:r>
      <w:r>
        <w:rPr>
          <w:rFonts w:hint="eastAsia" w:ascii="宋体" w:hAnsi="宋体" w:eastAsia="宋体" w:cs="宋体"/>
          <w:sz w:val="22"/>
          <w:szCs w:val="22"/>
          <w:lang w:eastAsia="zh-CN"/>
        </w:rPr>
        <w:t>。</w:t>
      </w:r>
      <w:r>
        <w:rPr>
          <w:rFonts w:hint="eastAsia" w:ascii="宋体" w:hAnsi="宋体" w:eastAsia="宋体" w:cs="宋体"/>
          <w:sz w:val="22"/>
          <w:szCs w:val="22"/>
        </w:rPr>
        <w:t>如刊物封面为塑膜,则馆藏章盖于该刊第一内页右下角空白处与第九内页的右下角。</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rPr>
        <w:t>G</w:t>
      </w:r>
      <w:r>
        <w:rPr>
          <w:rFonts w:hint="eastAsia" w:ascii="宋体" w:hAnsi="宋体" w:eastAsia="宋体" w:cs="宋体"/>
          <w:sz w:val="22"/>
          <w:szCs w:val="22"/>
          <w:lang w:val="en-US" w:eastAsia="zh-CN"/>
        </w:rPr>
        <w:t>.</w:t>
      </w:r>
      <w:r>
        <w:rPr>
          <w:rFonts w:hint="eastAsia" w:ascii="宋体" w:hAnsi="宋体" w:eastAsia="宋体" w:cs="宋体"/>
          <w:sz w:val="22"/>
          <w:szCs w:val="22"/>
        </w:rPr>
        <w:t>所盖章印须清晰、美观，不得赃污期刊</w:t>
      </w:r>
      <w:r>
        <w:rPr>
          <w:rFonts w:hint="eastAsia" w:ascii="宋体" w:hAnsi="宋体" w:eastAsia="宋体" w:cs="宋体"/>
          <w:sz w:val="22"/>
          <w:szCs w:val="22"/>
          <w:lang w:eastAsia="zh-CN"/>
        </w:rPr>
        <w:t>。</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H</w:t>
      </w:r>
      <w:r>
        <w:rPr>
          <w:rFonts w:hint="eastAsia" w:ascii="宋体" w:hAnsi="宋体" w:eastAsia="宋体" w:cs="宋体"/>
          <w:sz w:val="22"/>
          <w:szCs w:val="22"/>
          <w:lang w:val="en-US" w:eastAsia="zh-CN"/>
        </w:rPr>
        <w:t>.</w:t>
      </w:r>
      <w:r>
        <w:rPr>
          <w:rFonts w:hint="eastAsia" w:ascii="宋体" w:hAnsi="宋体" w:eastAsia="宋体" w:cs="宋体"/>
          <w:sz w:val="22"/>
          <w:szCs w:val="22"/>
        </w:rPr>
        <w:t>为所购的每本期刊粘贴空白书标，空白书标须粘在每本刊封面右侧中间的位置，如该位置有文字或图像，则做适当调整。空白书标由供应商负责。</w:t>
      </w:r>
    </w:p>
    <w:p>
      <w:pPr>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I</w:t>
      </w:r>
      <w:r>
        <w:rPr>
          <w:rFonts w:hint="eastAsia" w:ascii="宋体" w:hAnsi="宋体" w:eastAsia="宋体" w:cs="宋体"/>
          <w:sz w:val="22"/>
          <w:szCs w:val="22"/>
          <w:lang w:val="en-US" w:eastAsia="zh-CN"/>
        </w:rPr>
        <w:t>.</w:t>
      </w:r>
      <w:r>
        <w:rPr>
          <w:rFonts w:hint="eastAsia" w:ascii="宋体" w:hAnsi="宋体" w:eastAsia="宋体" w:cs="宋体"/>
          <w:sz w:val="22"/>
          <w:szCs w:val="22"/>
        </w:rPr>
        <w:t>发现期刊与订购不符时，无论加工与否一律退回期刊。到货验收时，如有缺页、污损等情况，供应商应无条件调换。供应商的期刊发货差错率应低于1%。采购人催缺补刊需求供应商须在接受通知之日起一月内完成。</w:t>
      </w:r>
    </w:p>
    <w:p>
      <w:pPr>
        <w:pStyle w:val="2"/>
        <w:keepNext w:val="0"/>
        <w:keepLines w:val="0"/>
        <w:pageBreakBefore w:val="0"/>
        <w:widowControl w:val="0"/>
        <w:kinsoku/>
        <w:wordWrap/>
        <w:overflowPunct/>
        <w:topLinePunct w:val="0"/>
        <w:autoSpaceDE/>
        <w:autoSpaceDN/>
        <w:bidi w:val="0"/>
        <w:spacing w:line="36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J</w:t>
      </w:r>
      <w:r>
        <w:rPr>
          <w:rFonts w:hint="eastAsia" w:ascii="宋体" w:hAnsi="宋体" w:eastAsia="宋体" w:cs="宋体"/>
          <w:sz w:val="22"/>
          <w:szCs w:val="22"/>
          <w:lang w:val="en-US" w:eastAsia="zh-CN"/>
        </w:rPr>
        <w:t>.</w:t>
      </w:r>
      <w:r>
        <w:rPr>
          <w:rFonts w:hint="eastAsia" w:ascii="宋体" w:hAnsi="宋体" w:eastAsia="宋体" w:cs="宋体"/>
          <w:sz w:val="22"/>
          <w:szCs w:val="22"/>
        </w:rPr>
        <w:t>供应商须及时向采购人反馈停刊、休刊、合并刊、改刊名、改频次、改订购号等期刊变动信息。对于停刊、休刊的应立即通知采购人，或换刊或退款，发现缺期，应及时补刊或退款。除出版变更的期刊外需保证到刊</w:t>
      </w:r>
      <w:r>
        <w:rPr>
          <w:rFonts w:hint="eastAsia" w:ascii="宋体" w:hAnsi="宋体" w:eastAsia="宋体" w:cs="宋体"/>
          <w:color w:val="000000"/>
          <w:sz w:val="22"/>
          <w:szCs w:val="22"/>
        </w:rPr>
        <w:t>率</w:t>
      </w:r>
      <w:r>
        <w:rPr>
          <w:rFonts w:hint="eastAsia" w:ascii="宋体" w:hAnsi="宋体" w:eastAsia="宋体" w:cs="宋体"/>
          <w:color w:val="000000"/>
          <w:sz w:val="22"/>
          <w:szCs w:val="22"/>
          <w:lang w:eastAsia="zh-CN"/>
        </w:rPr>
        <w:t>不低于</w:t>
      </w:r>
      <w:r>
        <w:rPr>
          <w:rFonts w:hint="eastAsia" w:ascii="宋体" w:hAnsi="宋体" w:eastAsia="宋体" w:cs="宋体"/>
          <w:color w:val="000000"/>
          <w:sz w:val="22"/>
          <w:szCs w:val="22"/>
          <w:lang w:val="en-US" w:eastAsia="zh-CN"/>
        </w:rPr>
        <w:t>95</w:t>
      </w:r>
      <w:r>
        <w:rPr>
          <w:rFonts w:hint="eastAsia" w:ascii="宋体" w:hAnsi="宋体" w:eastAsia="宋体" w:cs="宋体"/>
          <w:color w:val="000000"/>
          <w:sz w:val="22"/>
          <w:szCs w:val="22"/>
        </w:rPr>
        <w:t>%。如极</w:t>
      </w:r>
      <w:r>
        <w:rPr>
          <w:rFonts w:hint="eastAsia" w:ascii="宋体" w:hAnsi="宋体" w:eastAsia="宋体" w:cs="宋体"/>
          <w:sz w:val="22"/>
          <w:szCs w:val="22"/>
        </w:rPr>
        <w:t>个别刊物出现无原刊的情况，供应商需提供原本复印件，以保证采购人馆藏的需要。</w:t>
      </w:r>
    </w:p>
    <w:p>
      <w:pPr>
        <w:numPr>
          <w:ilvl w:val="0"/>
          <w:numId w:val="1"/>
        </w:numPr>
        <w:snapToGrid w:val="0"/>
        <w:spacing w:line="360" w:lineRule="exact"/>
        <w:rPr>
          <w:rFonts w:ascii="宋体" w:hAnsi="宋体" w:cs="宋体"/>
          <w:b/>
          <w:spacing w:val="-6"/>
          <w:sz w:val="22"/>
          <w:szCs w:val="22"/>
        </w:rPr>
      </w:pPr>
      <w:r>
        <w:rPr>
          <w:rFonts w:hint="eastAsia" w:ascii="宋体" w:hAnsi="宋体" w:cs="宋体"/>
          <w:b/>
          <w:spacing w:val="-6"/>
          <w:sz w:val="22"/>
          <w:szCs w:val="22"/>
        </w:rPr>
        <w:t>其他</w:t>
      </w:r>
    </w:p>
    <w:p>
      <w:pPr>
        <w:spacing w:line="360" w:lineRule="exact"/>
        <w:ind w:firstLine="313" w:firstLineChars="150"/>
        <w:rPr>
          <w:rFonts w:hint="eastAsia" w:ascii="宋体" w:hAnsi="宋体" w:cs="宋体"/>
          <w:b/>
          <w:spacing w:val="-6"/>
          <w:sz w:val="22"/>
          <w:szCs w:val="22"/>
        </w:rPr>
      </w:pPr>
      <w:r>
        <w:rPr>
          <w:rFonts w:hint="eastAsia" w:ascii="宋体" w:hAnsi="宋体" w:cs="宋体"/>
          <w:b/>
          <w:spacing w:val="-6"/>
          <w:sz w:val="22"/>
          <w:szCs w:val="22"/>
        </w:rPr>
        <w:t>1、标“▲且加下划线”的有关技术和商务要求为实质性条款，响应方必须做出实质性响应</w:t>
      </w:r>
      <w:r>
        <w:rPr>
          <w:rFonts w:hint="eastAsia" w:ascii="宋体" w:hAnsi="宋体" w:cs="宋体"/>
          <w:b/>
          <w:bCs/>
          <w:spacing w:val="-6"/>
          <w:sz w:val="22"/>
          <w:szCs w:val="22"/>
        </w:rPr>
        <w:t>，否则视为无效响应文件。</w:t>
      </w:r>
      <w:r>
        <w:rPr>
          <w:rFonts w:hint="eastAsia" w:ascii="宋体" w:hAnsi="宋体" w:cs="宋体"/>
          <w:b/>
          <w:spacing w:val="-6"/>
          <w:sz w:val="22"/>
          <w:szCs w:val="22"/>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rPr>
      </w:pPr>
      <w:r>
        <w:rPr>
          <w:rFonts w:hint="eastAsia" w:ascii="宋体" w:hAnsi="宋体" w:cs="宋体"/>
          <w:b/>
          <w:spacing w:val="-6"/>
          <w:sz w:val="22"/>
          <w:szCs w:val="22"/>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rPr>
        <w:t>。</w:t>
      </w:r>
    </w:p>
    <w:p>
      <w:pPr>
        <w:snapToGrid w:val="0"/>
        <w:spacing w:line="360" w:lineRule="exact"/>
        <w:ind w:firstLine="418" w:firstLineChars="200"/>
        <w:jc w:val="left"/>
        <w:rPr>
          <w:rFonts w:ascii="宋体" w:hAnsi="宋体" w:cs="宋体"/>
          <w:b/>
          <w:spacing w:val="-6"/>
          <w:sz w:val="22"/>
          <w:szCs w:val="22"/>
        </w:rPr>
      </w:pPr>
      <w:r>
        <w:rPr>
          <w:rFonts w:hint="eastAsia" w:ascii="宋体" w:hAnsi="宋体" w:cs="宋体"/>
          <w:b/>
          <w:spacing w:val="-6"/>
          <w:sz w:val="22"/>
          <w:szCs w:val="22"/>
        </w:rPr>
        <w:t>3.如技术部分中未特别注明需执行的国家相关标准、行业标准、地方标准或者其他标准、规范，则统一执行最新标准、规范。</w:t>
      </w:r>
    </w:p>
    <w:p/>
    <w:sectPr>
      <w:pgSz w:w="11906" w:h="16838"/>
      <w:pgMar w:top="1417"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65567"/>
    <w:rsid w:val="6E26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400" w:lineRule="atLeast"/>
      <w:ind w:firstLine="510"/>
      <w:textAlignment w:val="baseline"/>
    </w:pPr>
    <w:rPr>
      <w:rFonts w:eastAsia="微软雅黑"/>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2021-08-27T00:54:00Z</dcterms:created>
  <dc:creator>Administrator</dc:creator>
  <cp:lastModifiedBy>Administrator</cp:lastModifiedBy>
  <dcterms:modified xsi:type="dcterms:W3CDTF">2021-08-27T00:56:15Z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