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第三部分 采购需求</w:t>
      </w:r>
    </w:p>
    <w:p>
      <w:p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一、采购内容及数量</w:t>
      </w:r>
    </w:p>
    <w:tbl>
      <w:tblPr>
        <w:tblStyle w:val="2"/>
        <w:tblW w:w="0" w:type="auto"/>
        <w:jc w:val="center"/>
        <w:tblLayout w:type="fixed"/>
        <w:tblCellMar>
          <w:top w:w="0" w:type="dxa"/>
          <w:left w:w="108" w:type="dxa"/>
          <w:bottom w:w="0" w:type="dxa"/>
          <w:right w:w="108" w:type="dxa"/>
        </w:tblCellMar>
      </w:tblPr>
      <w:tblGrid>
        <w:gridCol w:w="752"/>
        <w:gridCol w:w="2438"/>
        <w:gridCol w:w="1470"/>
        <w:gridCol w:w="1987"/>
        <w:gridCol w:w="1528"/>
        <w:gridCol w:w="1085"/>
      </w:tblGrid>
      <w:tr>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标段</w:t>
            </w:r>
          </w:p>
        </w:tc>
        <w:tc>
          <w:tcPr>
            <w:tcW w:w="24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项目内容</w:t>
            </w:r>
          </w:p>
        </w:tc>
        <w:tc>
          <w:tcPr>
            <w:tcW w:w="1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 xml:space="preserve">数量 </w:t>
            </w:r>
          </w:p>
        </w:tc>
        <w:tc>
          <w:tcPr>
            <w:tcW w:w="19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结算单价</w:t>
            </w:r>
          </w:p>
        </w:tc>
        <w:tc>
          <w:tcPr>
            <w:tcW w:w="1528"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预算金额(元)</w:t>
            </w:r>
          </w:p>
        </w:tc>
        <w:tc>
          <w:tcPr>
            <w:tcW w:w="108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516" w:hRule="atLeast"/>
          <w:jc w:val="center"/>
        </w:trPr>
        <w:tc>
          <w:tcPr>
            <w:tcW w:w="7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一</w:t>
            </w:r>
          </w:p>
        </w:tc>
        <w:tc>
          <w:tcPr>
            <w:tcW w:w="24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2021年中秋节慰问品</w:t>
            </w:r>
          </w:p>
        </w:tc>
        <w:tc>
          <w:tcPr>
            <w:tcW w:w="1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1040套</w:t>
            </w:r>
          </w:p>
        </w:tc>
        <w:tc>
          <w:tcPr>
            <w:tcW w:w="19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300元/套</w:t>
            </w:r>
          </w:p>
        </w:tc>
        <w:tc>
          <w:tcPr>
            <w:tcW w:w="1528"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312000.00</w:t>
            </w:r>
          </w:p>
        </w:tc>
        <w:tc>
          <w:tcPr>
            <w:tcW w:w="108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16" w:hRule="atLeast"/>
          <w:jc w:val="center"/>
        </w:trPr>
        <w:tc>
          <w:tcPr>
            <w:tcW w:w="7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二</w:t>
            </w:r>
          </w:p>
        </w:tc>
        <w:tc>
          <w:tcPr>
            <w:tcW w:w="24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2021年国庆节慰问品</w:t>
            </w:r>
          </w:p>
        </w:tc>
        <w:tc>
          <w:tcPr>
            <w:tcW w:w="1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1039套</w:t>
            </w:r>
          </w:p>
        </w:tc>
        <w:tc>
          <w:tcPr>
            <w:tcW w:w="19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100元/套</w:t>
            </w:r>
          </w:p>
        </w:tc>
        <w:tc>
          <w:tcPr>
            <w:tcW w:w="1528"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103900.00</w:t>
            </w:r>
          </w:p>
        </w:tc>
        <w:tc>
          <w:tcPr>
            <w:tcW w:w="108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kern w:val="0"/>
                <w:sz w:val="22"/>
                <w:szCs w:val="22"/>
              </w:rPr>
            </w:pPr>
          </w:p>
        </w:tc>
      </w:tr>
    </w:tbl>
    <w:p>
      <w:pPr>
        <w:snapToGrid w:val="0"/>
        <w:spacing w:line="360" w:lineRule="exact"/>
        <w:outlineLvl w:val="0"/>
        <w:rPr>
          <w:rFonts w:hint="eastAsia" w:ascii="宋体" w:hAnsi="宋体" w:cs="宋体"/>
          <w:b/>
          <w:spacing w:val="-6"/>
          <w:sz w:val="22"/>
          <w:szCs w:val="22"/>
        </w:rPr>
      </w:pPr>
      <w:r>
        <w:rPr>
          <w:rFonts w:hint="eastAsia" w:ascii="宋体" w:hAnsi="宋体" w:cs="宋体"/>
          <w:b/>
          <w:bCs/>
          <w:kern w:val="0"/>
          <w:sz w:val="22"/>
          <w:szCs w:val="22"/>
        </w:rPr>
        <w:t>二、</w:t>
      </w:r>
      <w:r>
        <w:rPr>
          <w:rFonts w:hint="eastAsia" w:ascii="宋体" w:hAnsi="宋体" w:cs="宋体"/>
          <w:b/>
          <w:spacing w:val="-6"/>
          <w:sz w:val="22"/>
          <w:szCs w:val="22"/>
        </w:rPr>
        <w:t>商务要求（技术要求里另有注明的以技术要求为准）</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6"/>
        <w:gridCol w:w="7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kern w:val="0"/>
                <w:sz w:val="22"/>
                <w:szCs w:val="22"/>
                <w:u w:val="single"/>
              </w:rPr>
              <w:t>▲</w:t>
            </w:r>
            <w:r>
              <w:rPr>
                <w:rFonts w:hint="eastAsia" w:ascii="宋体" w:hAnsi="宋体" w:cs="宋体"/>
                <w:b/>
                <w:bCs/>
                <w:sz w:val="22"/>
                <w:szCs w:val="22"/>
                <w:u w:val="single"/>
              </w:rPr>
              <w:t>付款条件</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rPr>
            </w:pPr>
            <w:r>
              <w:rPr>
                <w:rFonts w:hint="eastAsia" w:ascii="宋体" w:hAnsi="宋体" w:cs="宋体"/>
                <w:sz w:val="22"/>
                <w:szCs w:val="22"/>
                <w:u w:val="single"/>
              </w:rPr>
              <w:t>成交供应商完成全部供货等服务后一个月，采购人无反馈质量问题，开具合同金额100%的增值税专用发票，采购人收到后15个工作日内，采购人向成交供应商支付100%合同价款。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质保期</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cs="宋体"/>
                <w:color w:val="000000"/>
                <w:sz w:val="22"/>
                <w:szCs w:val="22"/>
              </w:rPr>
            </w:pPr>
            <w:r>
              <w:rPr>
                <w:rFonts w:hint="eastAsia" w:ascii="宋体" w:hAnsi="宋体" w:cs="宋体"/>
                <w:sz w:val="22"/>
                <w:szCs w:val="22"/>
              </w:rPr>
              <w:t>所供商品质保日期必须剩余三分之二以上。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交付时间</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rPr>
              <w:t>2021年9月18日前完成供货。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交付地点</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szCs w:val="22"/>
                <w:highlight w:val="none"/>
              </w:rPr>
            </w:pPr>
            <w:r>
              <w:rPr>
                <w:rFonts w:hint="eastAsia" w:ascii="宋体" w:hAnsi="宋体" w:cs="宋体"/>
                <w:sz w:val="22"/>
                <w:szCs w:val="22"/>
                <w:highlight w:val="none"/>
              </w:rPr>
              <w:t>采购人指定地点。</w:t>
            </w:r>
          </w:p>
        </w:tc>
      </w:tr>
    </w:tbl>
    <w:p>
      <w:pPr>
        <w:numPr>
          <w:ilvl w:val="0"/>
          <w:numId w:val="1"/>
        </w:numP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p>
      <w:pPr>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（一）2021年中秋节慰问品（标段一）</w:t>
      </w:r>
    </w:p>
    <w:tbl>
      <w:tblPr>
        <w:tblStyle w:val="2"/>
        <w:tblW w:w="9267"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内容</w:t>
            </w:r>
          </w:p>
        </w:tc>
        <w:tc>
          <w:tcPr>
            <w:tcW w:w="7960"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礼包</w:t>
            </w:r>
          </w:p>
        </w:tc>
        <w:tc>
          <w:tcPr>
            <w:tcW w:w="7960"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礼包内不包含月饼；</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礼包内商品种类不限；</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礼包价值大于等于固定单价；</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2021年9月17日运送至温州职业技术学院茶山校区，2021年9月18日运送至温州职业技术学院鹿城校区，供货时至少安排2名工作人员协助采购人进行分发、登记工作。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其他要求</w:t>
            </w:r>
          </w:p>
        </w:tc>
        <w:tc>
          <w:tcPr>
            <w:tcW w:w="7960"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所供商品符合相关国家现行法律法规及行业要求标准；</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保证为全新正品，无受潮、破损、挤压等相关质量问题，一经发现，无条件退换，问题严重的将终止供货，由成交供应商承担责任，并承担由此造成的全部经济损失及责任；</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所供商品质保日期必须剩余三分之二以上；</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不论以何种形式进行供货，供应商都必须按照其在磋商文件中做出的服务承诺履行相关义务。</w:t>
            </w:r>
          </w:p>
        </w:tc>
      </w:tr>
    </w:tbl>
    <w:p>
      <w:pPr>
        <w:spacing w:line="360" w:lineRule="exact"/>
        <w:ind w:left="210"/>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（二）2021年国庆节慰问品（标段二）</w:t>
      </w:r>
    </w:p>
    <w:tbl>
      <w:tblPr>
        <w:tblStyle w:val="2"/>
        <w:tblW w:w="939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内容</w:t>
            </w:r>
          </w:p>
        </w:tc>
        <w:tc>
          <w:tcPr>
            <w:tcW w:w="8148"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礼包</w:t>
            </w:r>
          </w:p>
        </w:tc>
        <w:tc>
          <w:tcPr>
            <w:tcW w:w="8148"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礼包内不包含月饼；</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礼包内商品种类不限；</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礼包价值大于等于固定单价；</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2021年9月17日运送至温州职业技术学院茶山校区，2021年9月18日运送至温州职业技术学院鹿城校区，供货时至少安排2名工作人员协助采购人进行分发、登记工作。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其他要求</w:t>
            </w:r>
          </w:p>
        </w:tc>
        <w:tc>
          <w:tcPr>
            <w:tcW w:w="8148"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 xml:space="preserve">所供商品符合相关国家现行法律法规及行业要求标准； </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保证为全新正品，无受潮、破损、挤压等相关质量问题，一经发现，无条件退换，问题严重的将终止供货，由成交供应商承担责任，并承担由此造成的全部经济损失及责任；</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 xml:space="preserve">所供商品质保日期必须剩余三分之二以上； </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不论以何种形式进行供货，供应商都必须按照其在磋商文件中做出的服务承诺履行相关义务。</w:t>
            </w:r>
          </w:p>
        </w:tc>
      </w:tr>
    </w:tbl>
    <w:p>
      <w:pPr>
        <w:snapToGrid w:val="0"/>
        <w:spacing w:line="360" w:lineRule="exact"/>
        <w:rPr>
          <w:rFonts w:ascii="宋体" w:hAnsi="宋体" w:cs="宋体"/>
          <w:b/>
          <w:spacing w:val="-6"/>
          <w:sz w:val="22"/>
          <w:szCs w:val="22"/>
        </w:rPr>
      </w:pPr>
      <w:r>
        <w:rPr>
          <w:rFonts w:hint="eastAsia" w:ascii="宋体" w:hAnsi="宋体" w:cs="宋体"/>
          <w:b/>
          <w:spacing w:val="-6"/>
          <w:sz w:val="22"/>
          <w:szCs w:val="22"/>
        </w:rPr>
        <w:t>四、其他</w:t>
      </w:r>
    </w:p>
    <w:p>
      <w:pPr>
        <w:spacing w:line="360" w:lineRule="exact"/>
        <w:ind w:firstLine="313" w:firstLineChars="150"/>
        <w:rPr>
          <w:rFonts w:hint="eastAsia" w:ascii="宋体" w:hAnsi="宋体" w:cs="宋体"/>
          <w:b/>
          <w:spacing w:val="-6"/>
          <w:sz w:val="22"/>
          <w:szCs w:val="22"/>
        </w:rPr>
      </w:pPr>
      <w:r>
        <w:rPr>
          <w:rFonts w:hint="eastAsia" w:ascii="宋体" w:hAnsi="宋体" w:cs="宋体"/>
          <w:b/>
          <w:spacing w:val="-6"/>
          <w:sz w:val="22"/>
          <w:szCs w:val="22"/>
        </w:rPr>
        <w:t>1、标“▲且加下划线”的有关技术和商务要求为实质性条款，响应方必须做出实质性响应</w:t>
      </w:r>
      <w:r>
        <w:rPr>
          <w:rFonts w:hint="eastAsia" w:ascii="宋体" w:hAnsi="宋体" w:cs="宋体"/>
          <w:b/>
          <w:bCs/>
          <w:spacing w:val="-6"/>
          <w:sz w:val="22"/>
          <w:szCs w:val="22"/>
        </w:rPr>
        <w:t>，否则视为无效响应文件。</w:t>
      </w:r>
      <w:r>
        <w:rPr>
          <w:rFonts w:hint="eastAsia" w:ascii="宋体" w:hAnsi="宋体" w:cs="宋体"/>
          <w:b/>
          <w:spacing w:val="-6"/>
          <w:sz w:val="22"/>
          <w:szCs w:val="22"/>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rPr>
      </w:pPr>
      <w:r>
        <w:rPr>
          <w:rFonts w:hint="eastAsia" w:ascii="宋体" w:hAnsi="宋体" w:cs="宋体"/>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rPr>
        <w:t>。</w:t>
      </w:r>
    </w:p>
    <w:p>
      <w:pPr>
        <w:snapToGrid w:val="0"/>
        <w:spacing w:line="360" w:lineRule="exact"/>
        <w:ind w:firstLine="418" w:firstLineChars="200"/>
        <w:jc w:val="left"/>
        <w:rPr>
          <w:rFonts w:ascii="宋体" w:hAnsi="宋体" w:cs="宋体"/>
          <w:b/>
          <w:spacing w:val="-6"/>
          <w:sz w:val="22"/>
          <w:szCs w:val="22"/>
        </w:rPr>
      </w:pPr>
      <w:r>
        <w:rPr>
          <w:rFonts w:hint="eastAsia" w:ascii="宋体" w:hAnsi="宋体" w:cs="宋体"/>
          <w:b/>
          <w:spacing w:val="-6"/>
          <w:sz w:val="22"/>
          <w:szCs w:val="22"/>
        </w:rPr>
        <w:t>3.如技术部分中未特别注明需执行的国家相关标准、行业标准、地方标准或者其他标准、规范，则统一执行最新标准、规范。</w:t>
      </w:r>
    </w:p>
    <w:p/>
    <w:sectPr>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930C2"/>
    <w:multiLevelType w:val="singleLevel"/>
    <w:tmpl w:val="609930C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53B21"/>
    <w:rsid w:val="1CB5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2021-09-06T08:21:00Z</dcterms:created>
  <dc:creator>Administrator</dc:creator>
  <cp:lastModifiedBy>Administrator</cp:lastModifiedBy>
  <dcterms:modified xsi:type="dcterms:W3CDTF">2021-09-06T08:23:32Z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