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8C0A">
      <w:pPr>
        <w:spacing w:line="4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采购需求</w:t>
      </w:r>
      <w:bookmarkStart w:id="2" w:name="_GoBack"/>
      <w:bookmarkEnd w:id="2"/>
    </w:p>
    <w:p w14:paraId="5E7F3EFD">
      <w:pPr>
        <w:pStyle w:val="5"/>
        <w:snapToGrid w:val="0"/>
        <w:spacing w:line="360" w:lineRule="exact"/>
        <w:outlineLvl w:val="0"/>
        <w:rPr>
          <w:rFonts w:hint="eastAsia" w:ascii="宋体" w:hAnsi="宋体" w:eastAsia="宋体" w:cs="宋体"/>
          <w:b/>
          <w:bCs/>
          <w:color w:val="auto"/>
          <w:sz w:val="22"/>
          <w:highlight w:val="none"/>
        </w:rPr>
      </w:pPr>
      <w:bookmarkStart w:id="0" w:name="_Toc29640"/>
      <w:r>
        <w:rPr>
          <w:rFonts w:hint="eastAsia" w:ascii="宋体" w:hAnsi="宋体" w:eastAsia="宋体" w:cs="宋体"/>
          <w:b/>
          <w:bCs/>
          <w:color w:val="auto"/>
          <w:sz w:val="22"/>
          <w:highlight w:val="none"/>
        </w:rPr>
        <w:t>一、采购清单</w:t>
      </w:r>
      <w:bookmarkEnd w:id="0"/>
    </w:p>
    <w:tbl>
      <w:tblPr>
        <w:tblStyle w:val="8"/>
        <w:tblW w:w="9537" w:type="dxa"/>
        <w:jc w:val="center"/>
        <w:tblLayout w:type="fixed"/>
        <w:tblCellMar>
          <w:top w:w="0" w:type="dxa"/>
          <w:left w:w="108" w:type="dxa"/>
          <w:bottom w:w="0" w:type="dxa"/>
          <w:right w:w="108" w:type="dxa"/>
        </w:tblCellMar>
      </w:tblPr>
      <w:tblGrid>
        <w:gridCol w:w="668"/>
        <w:gridCol w:w="4550"/>
        <w:gridCol w:w="984"/>
        <w:gridCol w:w="1700"/>
        <w:gridCol w:w="1635"/>
      </w:tblGrid>
      <w:tr w14:paraId="215A7463">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14D570">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序号</w:t>
            </w:r>
          </w:p>
        </w:tc>
        <w:tc>
          <w:tcPr>
            <w:tcW w:w="45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43DC75">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98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35B505C">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1700"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1750B961">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预算金额(元)</w:t>
            </w:r>
          </w:p>
        </w:tc>
        <w:tc>
          <w:tcPr>
            <w:tcW w:w="163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44DD6B01">
            <w:pPr>
              <w:spacing w:line="360" w:lineRule="exact"/>
              <w:jc w:val="center"/>
              <w:rPr>
                <w:rFonts w:hint="eastAsia" w:ascii="宋体" w:hAnsi="宋体" w:eastAsia="宋体" w:cs="宋体"/>
                <w:color w:val="auto"/>
                <w:sz w:val="22"/>
                <w:highlight w:val="none"/>
              </w:rPr>
            </w:pPr>
            <w:r>
              <w:rPr>
                <w:rFonts w:hint="eastAsia" w:ascii="宋体" w:hAnsi="宋体" w:eastAsia="宋体" w:cs="宋体"/>
                <w:bCs/>
                <w:color w:val="auto"/>
                <w:spacing w:val="-6"/>
                <w:sz w:val="22"/>
                <w:highlight w:val="none"/>
              </w:rPr>
              <w:t>是否允许进口</w:t>
            </w:r>
          </w:p>
        </w:tc>
      </w:tr>
      <w:tr w14:paraId="5928BFBA">
        <w:tblPrEx>
          <w:tblCellMar>
            <w:top w:w="0" w:type="dxa"/>
            <w:left w:w="108" w:type="dxa"/>
            <w:bottom w:w="0" w:type="dxa"/>
            <w:right w:w="108" w:type="dxa"/>
          </w:tblCellMar>
        </w:tblPrEx>
        <w:trPr>
          <w:trHeight w:val="516" w:hRule="atLeast"/>
          <w:jc w:val="center"/>
        </w:trPr>
        <w:tc>
          <w:tcPr>
            <w:tcW w:w="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EF2006">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45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87FCE3">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eastAsia="zh-CN"/>
              </w:rPr>
              <w:t>光网络实训基地二期建设</w:t>
            </w:r>
          </w:p>
        </w:tc>
        <w:tc>
          <w:tcPr>
            <w:tcW w:w="98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FC090FD">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1批</w:t>
            </w:r>
          </w:p>
        </w:tc>
        <w:tc>
          <w:tcPr>
            <w:tcW w:w="170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1F5E4D37">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lang w:eastAsia="zh-CN"/>
              </w:rPr>
              <w:t>416400</w:t>
            </w:r>
          </w:p>
        </w:tc>
        <w:tc>
          <w:tcPr>
            <w:tcW w:w="163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587D9864">
            <w:pPr>
              <w:spacing w:line="360" w:lineRule="exact"/>
              <w:jc w:val="center"/>
              <w:rPr>
                <w:rFonts w:hint="eastAsia" w:ascii="宋体" w:hAnsi="宋体" w:eastAsia="宋体" w:cs="宋体"/>
                <w:color w:val="auto"/>
                <w:sz w:val="22"/>
                <w:highlight w:val="none"/>
              </w:rPr>
            </w:pPr>
            <w:r>
              <w:rPr>
                <w:rFonts w:hint="eastAsia" w:ascii="宋体" w:hAnsi="宋体" w:eastAsia="宋体" w:cs="宋体"/>
                <w:bCs/>
                <w:color w:val="auto"/>
                <w:spacing w:val="-6"/>
                <w:sz w:val="22"/>
                <w:highlight w:val="none"/>
              </w:rPr>
              <w:t>否</w:t>
            </w:r>
          </w:p>
        </w:tc>
      </w:tr>
    </w:tbl>
    <w:p w14:paraId="60D50A2D">
      <w:pPr>
        <w:snapToGrid w:val="0"/>
        <w:spacing w:line="360" w:lineRule="exact"/>
        <w:outlineLvl w:val="0"/>
        <w:rPr>
          <w:rFonts w:hint="eastAsia" w:ascii="宋体" w:hAnsi="宋体" w:eastAsia="宋体" w:cs="宋体"/>
          <w:b/>
          <w:bCs/>
          <w:color w:val="auto"/>
          <w:spacing w:val="-6"/>
          <w:sz w:val="22"/>
          <w:highlight w:val="none"/>
        </w:rPr>
      </w:pPr>
      <w:bookmarkStart w:id="1" w:name="_Toc11956"/>
      <w:r>
        <w:rPr>
          <w:rFonts w:hint="eastAsia" w:ascii="宋体" w:hAnsi="宋体" w:eastAsia="宋体" w:cs="宋体"/>
          <w:b/>
          <w:bCs/>
          <w:color w:val="auto"/>
          <w:sz w:val="22"/>
          <w:highlight w:val="none"/>
        </w:rPr>
        <w:t>二、</w:t>
      </w:r>
      <w:r>
        <w:rPr>
          <w:rFonts w:hint="eastAsia" w:ascii="宋体" w:hAnsi="宋体" w:eastAsia="宋体" w:cs="宋体"/>
          <w:b/>
          <w:bCs/>
          <w:color w:val="auto"/>
          <w:spacing w:val="-6"/>
          <w:sz w:val="22"/>
          <w:highlight w:val="none"/>
        </w:rPr>
        <w:t>商务要求（技术要求里另有注明的以技术要求为准）</w:t>
      </w:r>
      <w:bookmarkEnd w:id="1"/>
    </w:p>
    <w:tbl>
      <w:tblPr>
        <w:tblStyle w:val="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86"/>
        <w:gridCol w:w="7034"/>
      </w:tblGrid>
      <w:tr w14:paraId="7A220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75EC9457">
            <w:pPr>
              <w:spacing w:line="360" w:lineRule="exact"/>
              <w:jc w:val="center"/>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▲付款方式</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5189754E">
            <w:pPr>
              <w:spacing w:line="360" w:lineRule="exact"/>
              <w:jc w:val="left"/>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u w:val="single"/>
              </w:rPr>
              <w:t>卖方完成全部供货及安装、调试、培训等服务，通过买方验收后，卖方向买方支付合同价款的5%作为履约保证金（需提供汇款凭证复印件），并开具合同金额100%的增值税正式发票，买方入库报销后15个工作日内，买方向卖方支付100%合同价款；自验收通过之日起计算，一年满后无质量问题，买方无息退还履约保证金。</w:t>
            </w:r>
          </w:p>
        </w:tc>
      </w:tr>
      <w:tr w14:paraId="4400E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4E9FE301">
            <w:pPr>
              <w:spacing w:line="360" w:lineRule="exact"/>
              <w:jc w:val="center"/>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b/>
                <w:bCs/>
                <w:color w:val="auto"/>
                <w:sz w:val="22"/>
                <w:highlight w:val="none"/>
                <w:u w:val="single"/>
              </w:rPr>
              <w:t>质保期</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5A0CF774">
            <w:pPr>
              <w:spacing w:line="360" w:lineRule="exact"/>
              <w:rPr>
                <w:rFonts w:hint="eastAsia" w:ascii="宋体" w:hAnsi="宋体" w:eastAsia="宋体" w:cs="宋体"/>
                <w:color w:val="auto"/>
                <w:sz w:val="22"/>
                <w:highlight w:val="none"/>
                <w:u w:val="single"/>
                <w:lang w:eastAsia="zh-CN"/>
              </w:rPr>
            </w:pPr>
            <w:r>
              <w:rPr>
                <w:rFonts w:hint="eastAsia" w:ascii="宋体" w:hAnsi="宋体" w:eastAsia="宋体" w:cs="宋体"/>
                <w:color w:val="auto"/>
                <w:sz w:val="22"/>
                <w:highlight w:val="none"/>
                <w:u w:val="single"/>
              </w:rPr>
              <w:t>质保期三年</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自验收合格之日起算</w:t>
            </w:r>
            <w:r>
              <w:rPr>
                <w:rFonts w:hint="eastAsia" w:ascii="宋体" w:hAnsi="宋体" w:eastAsia="宋体" w:cs="宋体"/>
                <w:color w:val="auto"/>
                <w:sz w:val="22"/>
                <w:highlight w:val="none"/>
                <w:u w:val="single"/>
                <w:lang w:eastAsia="zh-CN"/>
              </w:rPr>
              <w:t>）</w:t>
            </w:r>
          </w:p>
        </w:tc>
      </w:tr>
      <w:tr w14:paraId="75928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3B526797">
            <w:pPr>
              <w:spacing w:line="360" w:lineRule="exact"/>
              <w:jc w:val="center"/>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交付时间</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2186988D">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iCs/>
                <w:color w:val="auto"/>
                <w:sz w:val="22"/>
                <w:highlight w:val="none"/>
                <w:lang w:bidi="ar"/>
              </w:rPr>
              <w:t>合同签订后</w:t>
            </w:r>
            <w:r>
              <w:rPr>
                <w:rFonts w:hint="eastAsia" w:ascii="宋体" w:hAnsi="宋体" w:eastAsia="宋体" w:cs="宋体"/>
                <w:iCs/>
                <w:color w:val="auto"/>
                <w:sz w:val="22"/>
                <w:highlight w:val="none"/>
                <w:lang w:val="en-US" w:eastAsia="zh-CN" w:bidi="ar"/>
              </w:rPr>
              <w:t>20</w:t>
            </w:r>
            <w:r>
              <w:rPr>
                <w:rFonts w:hint="eastAsia" w:ascii="宋体" w:hAnsi="宋体" w:eastAsia="宋体" w:cs="宋体"/>
                <w:iCs/>
                <w:color w:val="auto"/>
                <w:sz w:val="22"/>
                <w:highlight w:val="none"/>
                <w:lang w:bidi="ar"/>
              </w:rPr>
              <w:t>天内完成产品供货、安装、调试</w:t>
            </w:r>
            <w:r>
              <w:rPr>
                <w:rFonts w:hint="eastAsia" w:ascii="宋体" w:hAnsi="宋体" w:eastAsia="宋体" w:cs="宋体"/>
                <w:iCs/>
                <w:color w:val="auto"/>
                <w:sz w:val="22"/>
                <w:highlight w:val="none"/>
                <w:lang w:eastAsia="zh-CN" w:bidi="ar"/>
              </w:rPr>
              <w:t>、</w:t>
            </w:r>
            <w:r>
              <w:rPr>
                <w:rFonts w:hint="eastAsia" w:ascii="宋体" w:hAnsi="宋体" w:eastAsia="宋体" w:cs="宋体"/>
                <w:iCs/>
                <w:color w:val="auto"/>
                <w:sz w:val="22"/>
                <w:highlight w:val="none"/>
                <w:lang w:bidi="ar"/>
              </w:rPr>
              <w:t>验收。</w:t>
            </w:r>
          </w:p>
        </w:tc>
      </w:tr>
      <w:tr w14:paraId="7C1E5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723EF81A">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交付地点</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18863580">
            <w:pPr>
              <w:pStyle w:val="4"/>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温州职业技术学院指定地点。</w:t>
            </w:r>
          </w:p>
        </w:tc>
      </w:tr>
      <w:tr w14:paraId="78386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123361C1">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服务标准、期限、效率等要求</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5502702F">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1.投标人需要提供安装服务实施方案，根据交付时间节点，落实安装时间和人员安排，确保按期交付使用。</w:t>
            </w:r>
          </w:p>
          <w:p w14:paraId="275A3B45">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2.在质保期内对产品质量实行三包，提供上门维修和技术支持服务，并进行终身维护；</w:t>
            </w:r>
          </w:p>
          <w:p w14:paraId="5D88416C">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3提供7×24小时的故障受理及技术咨询服务，接到报修电话通知后，在2小时内</w:t>
            </w:r>
            <w:r>
              <w:rPr>
                <w:rFonts w:hint="eastAsia" w:ascii="宋体" w:hAnsi="宋体" w:eastAsia="宋体" w:cs="宋体"/>
                <w:color w:val="auto"/>
                <w:sz w:val="22"/>
                <w:highlight w:val="none"/>
                <w:lang w:val="en-US" w:eastAsia="zh-CN"/>
              </w:rPr>
              <w:t>现场</w:t>
            </w:r>
            <w:r>
              <w:rPr>
                <w:rFonts w:hint="eastAsia" w:ascii="宋体" w:hAnsi="宋体" w:eastAsia="宋体" w:cs="宋体"/>
                <w:color w:val="auto"/>
                <w:sz w:val="22"/>
                <w:highlight w:val="none"/>
              </w:rPr>
              <w:t>响应，对于七天内不能修复的设备，提供同型号或性能相近的备用设备。</w:t>
            </w:r>
          </w:p>
        </w:tc>
      </w:tr>
      <w:tr w14:paraId="4C7D6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6320BBAD">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sz w:val="22"/>
                <w:highlight w:val="none"/>
              </w:rPr>
              <w:t>验收标准</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2E5428DD">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1.验收标准应符合中国有关的国家、地方、行业的标准。</w:t>
            </w:r>
          </w:p>
          <w:p w14:paraId="360ED63E">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2.由采购人组织专家和用户代表或第三方机构，按照磋商文件、合同条款、软件工程要求和实际应用效果对项目进行验收，因投标人原因导致验收未一次性通过，后期验收产生费用需由投标人承担。</w:t>
            </w:r>
          </w:p>
          <w:p w14:paraId="15E494AF">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3.验收时投标人应在现场，验收完毕后作出验收结果报告。</w:t>
            </w:r>
          </w:p>
          <w:p w14:paraId="76F57D26">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4所有合同中规定的货物和材料都已在规定时间交付。</w:t>
            </w:r>
          </w:p>
          <w:p w14:paraId="652E5067">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5.运行结果符合产品标准和技术规格及合同要求。</w:t>
            </w:r>
          </w:p>
          <w:p w14:paraId="363DE23B">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6.如发现有重大的质量问题，双方均同意提请国家法定检测机构鉴定，如检测结果证明产品无质量问题，由采购人承担检测费用；如检测结果证明产品有质量问题，由投标人承担检测费用。</w:t>
            </w:r>
          </w:p>
          <w:p w14:paraId="159CFD19">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7.投标人在设备到货、安装、调试和验收期间应采取严格的安全措施，承担由于自身原因所造成的事故责任及其发生的一切费用。</w:t>
            </w:r>
          </w:p>
        </w:tc>
      </w:tr>
      <w:tr w14:paraId="775D0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5981EE55">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其他要求</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33303243">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所供设备在现场进行到货验收时，中标人需派员参加并与采购人一起开箱检验，按供货清单验收，若有缺少或损坏，中标人应立即补足或更换全新同规格产品，并承担相关费用直至使采购人满意为止。设备的存放点由采购人负责提供（费用由中标人承担），但中标人应预先提出设备的保管存放要求。</w:t>
            </w:r>
          </w:p>
          <w:p w14:paraId="798B8127">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2.安装范围包括设备本身（含设备与电源之间的线路安装）及软件系统的安装，安装需符合有关标准和规范。安装过程中采购人将对安装质量进行监督。</w:t>
            </w:r>
          </w:p>
          <w:p w14:paraId="5532B9BA">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安装完毕后，中标人应派遣有经验的技术人员与采购人一起进行设备的调试及试运行，采购人可以要求中标人或具有检测资质的第三方用专用仪器进行性能测试，中标人负责测试和调试所需的人员、工具、材料、仪器及一切费用，并填写测试报告交由采购人存档。如需采购人派有关人员配合，中标人在设备安装调试前三天提出需配合工作的人员、数量等计划书交与采购人，以便采购人提前作好准备，确保整个项目顺利进行。中标人需在安装结束前将测试和调试方法交与采购人，并经其同意后方可执行。</w:t>
            </w:r>
          </w:p>
          <w:p w14:paraId="128EBFEC">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设备经过试运行后达到并符合合同要求，其中故障和隐患均已排除或解决，并使采购人满意，所有的技术资料和图纸均已向采购人提交并被接受，验收视为合格，双方签署验收证书后，设备才视为接受。若因中标人产品质量或安装技术问题导致验收不合格，中标人应及时予以处理，直至验收合格，期间发生的一切相关费用由中标人承担，采购人保留向中标人索赔的权利。</w:t>
            </w:r>
          </w:p>
          <w:p w14:paraId="4A395767">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5.中标人在设备到货、安装、调试和验收期间应采取严格的安全措施，承担由于自身原因所造成的事故责任及其发生的一切费用。</w:t>
            </w:r>
          </w:p>
        </w:tc>
      </w:tr>
      <w:tr w14:paraId="3CD82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3B50BA8A">
            <w:pPr>
              <w:pStyle w:val="11"/>
              <w:spacing w:line="360" w:lineRule="exact"/>
              <w:jc w:val="center"/>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报价要求</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44F86702">
            <w:pPr>
              <w:pStyle w:val="11"/>
              <w:autoSpaceDE/>
              <w:autoSpaceDN/>
              <w:adjustRightInd/>
              <w:spacing w:line="3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报价是指投标人在正确地完全履行合同义务后采购人应支付给投标人所有的货物价款，</w:t>
            </w:r>
            <w:r>
              <w:rPr>
                <w:rFonts w:hint="eastAsia" w:ascii="宋体" w:hAnsi="宋体" w:eastAsia="宋体" w:cs="宋体"/>
                <w:color w:val="auto"/>
                <w:sz w:val="22"/>
                <w:highlight w:val="none"/>
                <w:lang w:eastAsia="zh-CN"/>
              </w:rPr>
              <w:t>即包</w:t>
            </w:r>
            <w:r>
              <w:rPr>
                <w:rFonts w:hint="eastAsia" w:ascii="宋体" w:hAnsi="宋体" w:eastAsia="宋体" w:cs="宋体"/>
                <w:color w:val="auto"/>
                <w:sz w:val="22"/>
                <w:highlight w:val="none"/>
              </w:rPr>
              <w:t>括设备供货、运输、保险、装卸、安装调试及技术、验收（含第三方验收）、培训、售后服务、税费、采购代理服务费、政策性文件规定及合同包含的所有风险、责任等全部费用，实行固定费用总包干，投标人应根据上述因素自行考虑含入投标总价。</w:t>
            </w:r>
          </w:p>
        </w:tc>
      </w:tr>
    </w:tbl>
    <w:p w14:paraId="439B3785">
      <w:pPr>
        <w:keepNext w:val="0"/>
        <w:keepLines w:val="0"/>
        <w:pageBreakBefore w:val="0"/>
        <w:numPr>
          <w:ilvl w:val="0"/>
          <w:numId w:val="1"/>
        </w:numPr>
        <w:kinsoku/>
        <w:wordWrap/>
        <w:overflowPunct/>
        <w:topLinePunct w:val="0"/>
        <w:autoSpaceDE/>
        <w:autoSpaceDN/>
        <w:bidi w:val="0"/>
        <w:adjustRightInd/>
        <w:snapToGrid w:val="0"/>
        <w:spacing w:line="360" w:lineRule="exact"/>
        <w:ind w:left="0" w:leftChars="0" w:firstLine="0" w:firstLineChars="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技术要求</w:t>
      </w:r>
    </w:p>
    <w:p w14:paraId="2EF5E7F7">
      <w:pPr>
        <w:pStyle w:val="2"/>
        <w:keepNext w:val="0"/>
        <w:keepLines w:val="0"/>
        <w:pageBreakBefore w:val="0"/>
        <w:kinsoku/>
        <w:wordWrap/>
        <w:overflowPunct/>
        <w:topLinePunct w:val="0"/>
        <w:autoSpaceDE/>
        <w:autoSpaceDN/>
        <w:bidi w:val="0"/>
        <w:adjustRightInd/>
        <w:spacing w:after="0" w:line="360" w:lineRule="exac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pacing w:val="-6"/>
          <w:sz w:val="22"/>
          <w:szCs w:val="22"/>
          <w:highlight w:val="none"/>
          <w:lang w:val="en-US" w:eastAsia="zh-CN"/>
        </w:rPr>
        <w:t>1.采购清单及详细技术参数</w:t>
      </w:r>
    </w:p>
    <w:tbl>
      <w:tblPr>
        <w:tblStyle w:val="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
        <w:gridCol w:w="944"/>
        <w:gridCol w:w="6287"/>
        <w:gridCol w:w="690"/>
      </w:tblGrid>
      <w:tr w14:paraId="0C96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171BFA2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54"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3DFBDF8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3691"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791D979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405"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454290E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7FD6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2B5F362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40D88F6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光纤业务处理器（核心产品）</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033FF8A8">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1.性能要求：交换容量≥4.8T，包转发率≥2000Mpps；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2.硬件要求：提供≥48个万兆光口，≥6个40G光口；配置≥2块600W交流电源模块；支持可插拔风扇框，风扇框个数≥4；配置≥2块40G单模光模块；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★3.自主可控：采用国产化CPU和交换芯片（</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★4.功能表项：支持MAC表项≥64K，支持ARP表项≥64K；（</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5.虚拟化：支持纵向虚拟化，作为父节点将下联交换机、AP纵向虚拟为一台设备管理；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6.用户管理：支持统一用户管理功能，支持802.1X/MAC/Web等多种认证方式；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7.管理维护：支持以太网OAM（802.3ah 和 802.1ag）；支持SNMPv1/v2c/v3，支持RMON；支持NetStream；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8.VxLAN：支持VxLAN功能，支持BGP EVPN，支持分布式 Anycast 网关。</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41CE141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r>
      <w:tr w14:paraId="2FA7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7CCC2EE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5B97E4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AR路由器</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0873C765">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1.体系架构：采用无阻塞交换架构，支持多核CPU；</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★2.采用国产化CPU（</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3.硬件架构：整机高度≤1U，模块插槽≥2个；内存≥4GB；Flash≥1GB；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4.转发性能：包转发能力≥9Mpps，交换容量≥20Gbps；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5.业务端口：WAN：2个千兆combo口，1个万兆光口；LAN：1个千兆combo口，8个千兆电口；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★6.可靠性：业务板卡支持直接热插拔（</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7.局域网协议：支持IEEE 802.1P，IEEE 802.1Q，IEEE 802.3 ，VLAN管理，VLAN聚合，MAC管理，SEP等；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8.无线局域网：支持AP设备管理，CAPWAP协议， WLAN用户管理，WLAN QoS（WMM），WLAN 安全（WEP/WPA/WPA2/密钥管理）；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9.VPN：支持IPsec VPN，GRE VPN，DSVPN，A2A VPN，L2TP VPN，L2TPv3 VPN， VxLAN；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★10.安全：支持国密算法（</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11.管理维护：支持升级管理，设备管理，Web网管，GTL，SNMP（v1/v2c/v3）。</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4ECA065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3套</w:t>
            </w:r>
          </w:p>
        </w:tc>
      </w:tr>
      <w:tr w14:paraId="511D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5199216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DE4940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光线路业务处理器</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36E3C7DB">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1.性能要求：交换容量≥2.5T，包转发率≥1200Mpps；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2.硬件要求：提供≥24个万兆光口，≥6个40G光口；配置≥2块600W交流电源模块；支持可插拔风扇框，风扇框个数≥4；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★3.自主可控：采用国产化CPU和交换芯片（</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★4.功能表项：支持MAC表项≥380K，支持ARP表项≥128K；（</w:t>
            </w:r>
            <w:r>
              <w:rPr>
                <w:rFonts w:hint="eastAsia" w:ascii="宋体" w:hAnsi="宋体" w:eastAsia="宋体" w:cs="宋体"/>
                <w:b/>
                <w:bCs/>
                <w:i w:val="0"/>
                <w:iCs w:val="0"/>
                <w:color w:val="auto"/>
                <w:kern w:val="0"/>
                <w:sz w:val="22"/>
                <w:szCs w:val="22"/>
                <w:highlight w:val="none"/>
                <w:u w:val="none"/>
                <w:lang w:val="en-US" w:eastAsia="zh-CN" w:bidi="ar"/>
              </w:rPr>
              <w:t>提供CMA认可的检测报告证明并加盖投标人公章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5.融合AC：支持融合AC管理功能，整机可管理1K AP；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6.虚拟化：支持纵向虚拟化，作为父节点将下联交换机、AP纵向虚拟为一台设备管理；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7.用户管理：支持统一用户管理功能，支持802.1X/MAC/Portal等多种认证方式，支持≥10000认证用户同时在线；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8.管理维护：支持以太网OAM（802.3ah 和 802.1ag）；支持SNMPv1/v2c/v3，支持RMON；支持NetStream；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9.VxLAN：支持VxLAN功能，支持BGP EVPN，支持分布式Anycast网关；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10.安全：支持防ARP攻击、DOS攻击、ICMP防攻击、CPU防攻击；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11.可靠性：支持真实业务流实时检测技术，能实时检测网络故障。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7AF6E89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3台</w:t>
            </w:r>
          </w:p>
        </w:tc>
      </w:tr>
      <w:tr w14:paraId="73B4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4A9548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FF519C1">
            <w:pPr>
              <w:pStyle w:val="4"/>
              <w:jc w:val="center"/>
              <w:rPr>
                <w:rFonts w:hint="eastAsia" w:ascii="宋体" w:hAnsi="宋体" w:eastAsia="宋体" w:cs="宋体"/>
                <w:i w:val="0"/>
                <w:iCs w:val="0"/>
                <w:color w:val="auto"/>
                <w:sz w:val="22"/>
                <w:szCs w:val="22"/>
                <w:highlight w:val="none"/>
                <w:u w:val="none"/>
              </w:rPr>
            </w:pPr>
            <w:r>
              <w:rPr>
                <w:rFonts w:hint="eastAsia"/>
                <w:color w:val="auto"/>
                <w:sz w:val="22"/>
                <w:szCs w:val="22"/>
                <w:highlight w:val="none"/>
              </w:rPr>
              <w:t>家庭主网关</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2D57AD62">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1.网络侧接口：支持XG-PON和WAN口GE上行；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2.用户侧接口：支持2*GE+1*IPTV+1*POTS+1*USB2.0+1*下行光口+支持2.4GHz&amp;5GHz WiFi；</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3.安装场景支持桌面立放；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4.智能互联功能支持SIP/H.248自适应、Wi-Fi智能覆盖；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5.智能运维支持IPTV视频质量诊断、OLT 发起的流氓ONT检测和隔离、WLAN 仿真、PPPOE/DHCP 仿真测试；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6.组播功能支持IGMP v2/v3 snooping、IGMP v2/v3 proxy、MLD v1/v2 snooping；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7.三层特性功能支持PPPoE/静态IP/DHCP、端口转发、IPv6/IPv4 双栈，DS-Lite、静态路由/默认路由；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8.安全功能支持SPI 防火墙、防DOS攻击、MAC/IP/URL地址过滤；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9.QoS功能支持以太端口限速、802.1p 优先级、SP/WRR/SP+WRR、广播报文速率限制；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★10.通过光网关对整网Wi-Fi实现集中控制和资源协同；</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★11.兼容实训室教学OLT设备</w:t>
            </w:r>
            <w:r>
              <w:rPr>
                <w:rFonts w:hint="eastAsia"/>
                <w:color w:val="auto"/>
                <w:sz w:val="22"/>
                <w:szCs w:val="22"/>
                <w:highlight w:val="none"/>
                <w:lang w:eastAsia="zh-CN"/>
              </w:rPr>
              <w:t>（</w:t>
            </w:r>
            <w:r>
              <w:rPr>
                <w:rFonts w:hint="eastAsia"/>
                <w:color w:val="auto"/>
                <w:sz w:val="22"/>
                <w:szCs w:val="22"/>
                <w:highlight w:val="none"/>
                <w:lang w:val="en-US" w:eastAsia="zh-CN"/>
              </w:rPr>
              <w:t>现有设备华为EA5800-X2</w:t>
            </w:r>
            <w:r>
              <w:rPr>
                <w:rFonts w:hint="eastAsia"/>
                <w:color w:val="auto"/>
                <w:sz w:val="22"/>
                <w:szCs w:val="22"/>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提供承诺函并加盖投标人公章</w:t>
            </w:r>
            <w:r>
              <w:rPr>
                <w:rFonts w:hint="eastAsia" w:ascii="宋体" w:hAnsi="宋体" w:eastAsia="宋体" w:cs="宋体"/>
                <w:i w:val="0"/>
                <w:iCs w:val="0"/>
                <w:color w:val="auto"/>
                <w:kern w:val="0"/>
                <w:sz w:val="22"/>
                <w:szCs w:val="22"/>
                <w:highlight w:val="none"/>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1A4BC5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1套</w:t>
            </w:r>
          </w:p>
        </w:tc>
      </w:tr>
      <w:tr w14:paraId="7E7A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1205CB4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32CF91D">
            <w:pPr>
              <w:pStyle w:val="4"/>
              <w:jc w:val="center"/>
              <w:rPr>
                <w:rFonts w:hint="eastAsia" w:ascii="宋体" w:hAnsi="宋体" w:eastAsia="宋体" w:cs="宋体"/>
                <w:i w:val="0"/>
                <w:iCs w:val="0"/>
                <w:color w:val="auto"/>
                <w:sz w:val="22"/>
                <w:szCs w:val="22"/>
                <w:highlight w:val="none"/>
                <w:u w:val="none"/>
              </w:rPr>
            </w:pPr>
            <w:r>
              <w:rPr>
                <w:rFonts w:hint="eastAsia"/>
                <w:color w:val="auto"/>
                <w:sz w:val="22"/>
                <w:szCs w:val="22"/>
                <w:highlight w:val="none"/>
              </w:rPr>
              <w:t>家庭从光猫</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4A1C9B13">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★1.网络侧接口：光纤上行（通过光电复合缆接入）；</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★2.用户侧接口：支持1*GE+2.4GHz&amp;5GHz Wi-Fi 6；</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3.接口类型：光电复合缆小微头，和光网关配套，即插即用；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4.Wi-Fi功能支持IEEE 802.11 a/n/ac/ax(5GHz)、 2×2 MIMO (2.4GHz&amp;5GHz)、空口速率：574 Mbps(2.4GHz)，2402 Mbps(5GHz)；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5.以太网接口支持千兆网络接口，可连接电脑、IP 机顶盒等设备、MAC 地址学习、支持10Mbit/s、100Mbit/s、1000Mbit/s自适应；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★6.通过光网关对整网Wi-Fi实现集中控制和资源协同；</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★7.支持Wi-Fi配置自动同步；</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★8.兼容实训室教学OLT设备</w:t>
            </w:r>
            <w:r>
              <w:rPr>
                <w:rFonts w:hint="eastAsia"/>
                <w:color w:val="auto"/>
                <w:sz w:val="22"/>
                <w:szCs w:val="22"/>
                <w:highlight w:val="none"/>
                <w:lang w:eastAsia="zh-CN"/>
              </w:rPr>
              <w:t>（</w:t>
            </w:r>
            <w:r>
              <w:rPr>
                <w:rFonts w:hint="eastAsia"/>
                <w:color w:val="auto"/>
                <w:sz w:val="22"/>
                <w:szCs w:val="22"/>
                <w:highlight w:val="none"/>
                <w:lang w:val="en-US" w:eastAsia="zh-CN"/>
              </w:rPr>
              <w:t>现有设备华为EA5800-X2</w:t>
            </w:r>
            <w:r>
              <w:rPr>
                <w:rFonts w:hint="eastAsia"/>
                <w:color w:val="auto"/>
                <w:sz w:val="22"/>
                <w:szCs w:val="22"/>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提供承诺函并加盖投标人公章</w:t>
            </w:r>
            <w:r>
              <w:rPr>
                <w:rFonts w:hint="eastAsia" w:ascii="宋体" w:hAnsi="宋体" w:eastAsia="宋体" w:cs="宋体"/>
                <w:i w:val="0"/>
                <w:iCs w:val="0"/>
                <w:color w:val="auto"/>
                <w:kern w:val="0"/>
                <w:sz w:val="22"/>
                <w:szCs w:val="22"/>
                <w:highlight w:val="none"/>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3F028EC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r>
      <w:tr w14:paraId="6936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AFD025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7E7AB5F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摄像头</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4191CB29">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1.≥400万全彩筒型网络摄像机；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2.最高分辨率可达2560×1440 @25 fps，在该分辨率下可输出实时图像；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3.智能侦测：支持越界侦测，区域入侵侦测；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4.支持背光补偿，强光抑制，3D数字降噪，120dB宽动态适应不同视频环境；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5.支持2路码流，主码流2560*1440@25fps，子码流640×480@25fps。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6.最低照度彩色0.005lx。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7.同一静止场景相同图像质量下，设备在H.264或H.265编码方式时，开启智能编码功能和不开启智能编码相比，码率节约80％。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8.具备区域入侵、越界入侵，当以上智能分析行为达到设定的阈值时，可通过客户端软件或IE浏览器给出报警提示。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9.在彩色模式下，当照度降低至一定值时，可自动开启补光灯补光，在白天夜晚均可输出彩色视频图像。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10.红外开启可识别距设备50m处的人体轮廓。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11.内置麦克风。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12.具有1个RJ45 网络接口。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13.支持PoE供电。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14.外壳防护能力应符合≥IP67要求。</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397C25C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3个</w:t>
            </w:r>
          </w:p>
        </w:tc>
      </w:tr>
      <w:tr w14:paraId="2097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8B83D3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AB7FA5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摄像头监控平台</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2087A4F3">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1.1U机架式2盘位嵌入式网络硬盘录像机，整机采用短机箱设计，搭载高性能电源；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2.具有至少1个HDMI接口、至少1个VGA接口、至少2个RJ45千兆网络接口、至少2个USB2.0接口、具有至少1路音频输入接口、至少1路音频输出接口、至少4路报警输入接口、至少1路报警输出接口；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设备支持文搜功能，可通过文字语义描述，快速检索目标对象或内容；支持对人体、车辆、非机动车、物品、动物、基础事件等类型的检索；并可基于文搜快速检索的结果，对目标进行图搜的二次精准检索定位；（</w:t>
            </w:r>
            <w:r>
              <w:rPr>
                <w:rFonts w:hint="eastAsia" w:ascii="宋体" w:hAnsi="宋体" w:eastAsia="宋体" w:cs="宋体"/>
                <w:b/>
                <w:bCs/>
                <w:i w:val="0"/>
                <w:iCs w:val="0"/>
                <w:color w:val="auto"/>
                <w:kern w:val="0"/>
                <w:sz w:val="22"/>
                <w:szCs w:val="22"/>
                <w:highlight w:val="none"/>
                <w:u w:val="none"/>
                <w:lang w:val="en-US" w:eastAsia="zh-CN" w:bidi="ar"/>
              </w:rPr>
              <w:t>提供国家认可检测机构出具的检测报告证明并加盖投标人公章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4.支持将搜索内容添加到历史记录，历史检索词条保持最近10条，通过直接点击该高频热词或历史记录可直接进行重复检索；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5.支持独立的文搜应用展示界面，默认支持全通道录像检索，且通道和时间范围可设；支持自定义选择时间范围，可快速选择1天、3天、7天；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★6.设备支持独立的智能文搜应用模块，应用内置文搜高频热词，如：人的上衣颜色、下装颜色、随身物品、性别；车的颜色、类型、品牌；其他的抽烟、打电话、玩手机等；（</w:t>
            </w:r>
            <w:r>
              <w:rPr>
                <w:rFonts w:hint="eastAsia" w:ascii="宋体" w:hAnsi="宋体" w:eastAsia="宋体" w:cs="宋体"/>
                <w:b/>
                <w:bCs/>
                <w:i w:val="0"/>
                <w:iCs w:val="0"/>
                <w:color w:val="auto"/>
                <w:kern w:val="0"/>
                <w:sz w:val="22"/>
                <w:szCs w:val="22"/>
                <w:highlight w:val="none"/>
                <w:u w:val="none"/>
                <w:lang w:val="en-US" w:eastAsia="zh-CN" w:bidi="ar"/>
              </w:rPr>
              <w:t>提供国家认可检测机构出具的检测报告证明并加盖投标人公章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7.可同时解码输出至少8路4MP、H.265编码、25fps格式的视频图像；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8.支持≥16个人脸库，库容≥5万张人脸图片；支持≥2路视频流人脸识别，支持≥8路图片流人脸识别；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9.具有存储安全保障功能，当存储压力过高或硬盘出现性能不足时，可优先录像业务存储；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10.支持本地和远程进行IPv6配置，IPv6支持设置多种模式：路由公告、自动获取、手动配置；支持以IPV6方式登录、取流、配置、检索等功能；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11.支持本地预览权限的配置，设置权限后的通道只有登录后才会出现预览画面；支持远程预览加密，只有输入密钥才能解开视频；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12.支持密码复杂度等级显示；设备密码不允许明文显示和拷贝操作；并支持通过安全问题恢复密码，密码重置功能可开启或关闭。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14.支持用户二次认证机制，设备恢复默认配置、格式化硬盘、密码重置、用户修改、录像回放、录像下载等关键操作需进行用户二次认证。</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7537486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1套</w:t>
            </w:r>
          </w:p>
        </w:tc>
      </w:tr>
      <w:tr w14:paraId="12B6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7B1E68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20B10B8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AP</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7791A478">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1.满足802.11be Wi-Fi7标准，支持2.4GHz (2x2 MIMO)和5GHz (4x4MIMO)双频同时提供业务，整机≥6条空间流；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2.整机最高速率≥6.4Gbps，提供至少1个1G/2.5G电口，至少1个1G电口；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★3.自主可控，使用国产化Wi-Fi芯片；（</w:t>
            </w:r>
            <w:r>
              <w:rPr>
                <w:rFonts w:hint="eastAsia" w:ascii="宋体" w:hAnsi="宋体" w:eastAsia="宋体" w:cs="宋体"/>
                <w:b/>
                <w:bCs/>
                <w:i w:val="0"/>
                <w:iCs w:val="0"/>
                <w:color w:val="auto"/>
                <w:kern w:val="0"/>
                <w:sz w:val="22"/>
                <w:szCs w:val="22"/>
                <w:highlight w:val="none"/>
                <w:u w:val="none"/>
                <w:lang w:val="en-US" w:eastAsia="zh-CN" w:bidi="ar"/>
              </w:rPr>
              <w:t>提供国家认可检测机构出具的检测报告证明并加盖投标人公章</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★4.内置智能天线，内置蓝牙5.4和星闪SLE；</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5.提供 USB 接口，可用于扩展外置物联网（支持 ZigBee、RFID 等协议），提供官网证明；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6.支持telemetry，支持高速采集Wi-Fi的数据；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7.支持WAPI认证/加密方式；支持WIDS/WIPS，包括非法设备检测与反制、攻击检测与动态黑名单、STA/AP黑白名单；支持802.1X 认证、MAC 地址认证、Portal 认证。</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D28F2E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4个</w:t>
            </w:r>
          </w:p>
        </w:tc>
      </w:tr>
      <w:tr w14:paraId="43BB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23A6388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001774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以太网处理板</w:t>
            </w:r>
          </w:p>
        </w:tc>
        <w:tc>
          <w:tcPr>
            <w:tcW w:w="3691" w:type="pct"/>
            <w:tcBorders>
              <w:top w:val="single" w:color="000000" w:sz="4" w:space="0"/>
              <w:left w:val="single" w:color="000000" w:sz="4" w:space="0"/>
              <w:bottom w:val="single" w:color="000000" w:sz="4" w:space="0"/>
              <w:right w:val="single" w:color="000000" w:sz="4" w:space="0"/>
            </w:tcBorders>
            <w:noWrap w:val="0"/>
            <w:vAlign w:val="top"/>
          </w:tcPr>
          <w:p w14:paraId="05B50A0C">
            <w:pPr>
              <w:keepNext w:val="0"/>
              <w:keepLines w:val="0"/>
              <w:pageBreakBefore w:val="0"/>
              <w:widowControl/>
              <w:suppressLineNumbers w:val="0"/>
              <w:kinsoku/>
              <w:wordWrap/>
              <w:overflowPunct/>
              <w:topLinePunct w:val="0"/>
              <w:autoSpaceDE/>
              <w:autoSpaceDN/>
              <w:bidi w:val="0"/>
              <w:adjustRightInd/>
              <w:spacing w:line="360" w:lineRule="exact"/>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1.基本功能支持接入10GE/GE/FE光业务、GE电业务：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2.背板总带宽为≥100Gbit/s。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3.单板最大业务处理能力为不小于100 Gbit/s；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4.端口速率≥10GE LAN：以太网业务，速率为≥10.31Gbit/s；GE：以太网业务，线路速率≥1.25Gbit/s；FE：以太网业务，线路速率≥125Mbit/s；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5.TAG属性至少支持Tag Aware、Access和Hybrid三种TAG属性；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6.业务承载方式端口承载、PW承载、QinQ承载；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7.支持基于端口和基于队列的Shaping。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8.支持通过CoS进行拥塞管理，可采用SP+WFQ队列调度。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9.支持现网网管和设备管理。</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B8654F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3个</w:t>
            </w:r>
          </w:p>
        </w:tc>
      </w:tr>
      <w:tr w14:paraId="7CF2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1E0FA24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BECA80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光模块1</w:t>
            </w:r>
          </w:p>
        </w:tc>
        <w:tc>
          <w:tcPr>
            <w:tcW w:w="3691" w:type="pct"/>
            <w:tcBorders>
              <w:top w:val="single" w:color="000000" w:sz="4" w:space="0"/>
              <w:left w:val="single" w:color="000000" w:sz="4" w:space="0"/>
              <w:bottom w:val="single" w:color="000000" w:sz="4" w:space="0"/>
              <w:right w:val="single" w:color="000000" w:sz="4" w:space="0"/>
            </w:tcBorders>
            <w:noWrap w:val="0"/>
            <w:vAlign w:val="top"/>
          </w:tcPr>
          <w:p w14:paraId="6EFAE0F4">
            <w:pPr>
              <w:keepNext w:val="0"/>
              <w:keepLines w:val="0"/>
              <w:pageBreakBefore w:val="0"/>
              <w:widowControl/>
              <w:suppressLineNumbers w:val="0"/>
              <w:kinsoku/>
              <w:wordWrap/>
              <w:overflowPunct/>
              <w:topLinePunct w:val="0"/>
              <w:autoSpaceDE/>
              <w:autoSpaceDN/>
              <w:bidi w:val="0"/>
              <w:adjustRightInd/>
              <w:spacing w:line="360" w:lineRule="exact"/>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1.封装类型支持SFP+；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2.模块类型支持Gray；</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3.光线路码型支持NRZ；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4.传输速率支持8.5G～10.3125G；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5.支持业务类型10GE LAN，10GE WAN，FC800，FC1200，FICON 8G，FICON 10G。</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7F1B9C5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3套</w:t>
            </w:r>
          </w:p>
        </w:tc>
      </w:tr>
      <w:tr w14:paraId="3A77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1C7414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588DAE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光模块2</w:t>
            </w:r>
          </w:p>
        </w:tc>
        <w:tc>
          <w:tcPr>
            <w:tcW w:w="3691" w:type="pct"/>
            <w:tcBorders>
              <w:top w:val="single" w:color="000000" w:sz="4" w:space="0"/>
              <w:left w:val="single" w:color="000000" w:sz="4" w:space="0"/>
              <w:bottom w:val="single" w:color="000000" w:sz="4" w:space="0"/>
              <w:right w:val="single" w:color="000000" w:sz="4" w:space="0"/>
            </w:tcBorders>
            <w:noWrap w:val="0"/>
            <w:vAlign w:val="top"/>
          </w:tcPr>
          <w:p w14:paraId="0A6C8A47">
            <w:pPr>
              <w:keepNext w:val="0"/>
              <w:keepLines w:val="0"/>
              <w:pageBreakBefore w:val="0"/>
              <w:widowControl/>
              <w:suppressLineNumbers w:val="0"/>
              <w:kinsoku/>
              <w:wordWrap/>
              <w:overflowPunct/>
              <w:topLinePunct w:val="0"/>
              <w:autoSpaceDE/>
              <w:autoSpaceDN/>
              <w:bidi w:val="0"/>
              <w:adjustRightInd/>
              <w:spacing w:line="360" w:lineRule="exact"/>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1.封装类型支持SFP+；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2.模块类型支持DWDM；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3.光线路码型支持NRZ；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4.传输速率支持10G；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5.支持业务类型STM-64，OC-192，10GE LAN，10GE WAN，FC1200，FICON 10G，OTU2，OTU2e。</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401E56B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3个</w:t>
            </w:r>
          </w:p>
        </w:tc>
      </w:tr>
      <w:tr w14:paraId="0237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AC8657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59F01F7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光测试仪</w:t>
            </w:r>
          </w:p>
        </w:tc>
        <w:tc>
          <w:tcPr>
            <w:tcW w:w="3691" w:type="pct"/>
            <w:tcBorders>
              <w:top w:val="single" w:color="000000" w:sz="4" w:space="0"/>
              <w:left w:val="single" w:color="000000" w:sz="4" w:space="0"/>
              <w:bottom w:val="single" w:color="000000" w:sz="4" w:space="0"/>
              <w:right w:val="single" w:color="000000" w:sz="4" w:space="0"/>
            </w:tcBorders>
            <w:noWrap w:val="0"/>
            <w:vAlign w:val="center"/>
          </w:tcPr>
          <w:p w14:paraId="6F985022">
            <w:pPr>
              <w:numPr>
                <w:ilvl w:val="0"/>
                <w:numId w:val="2"/>
              </w:num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设备操作屏幕≥</w:t>
            </w:r>
            <w:r>
              <w:rPr>
                <w:rFonts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5</w:t>
            </w:r>
            <w:r>
              <w:rPr>
                <w:rFonts w:ascii="宋体" w:hAnsi="宋体" w:eastAsia="宋体" w:cs="宋体"/>
                <w:color w:val="auto"/>
                <w:sz w:val="22"/>
                <w:szCs w:val="22"/>
                <w:highlight w:val="none"/>
              </w:rPr>
              <w:t>寸触摸屏，</w:t>
            </w:r>
            <w:r>
              <w:rPr>
                <w:rFonts w:hint="eastAsia" w:ascii="宋体" w:hAnsi="宋体" w:eastAsia="宋体" w:cs="宋体"/>
                <w:color w:val="auto"/>
                <w:sz w:val="22"/>
                <w:szCs w:val="22"/>
                <w:highlight w:val="none"/>
                <w:lang w:val="en-US" w:eastAsia="zh-CN"/>
              </w:rPr>
              <w:t>分辨率≥</w:t>
            </w:r>
            <w:r>
              <w:rPr>
                <w:rFonts w:ascii="宋体" w:hAnsi="宋体" w:eastAsia="宋体" w:cs="宋体"/>
                <w:color w:val="auto"/>
                <w:sz w:val="22"/>
                <w:szCs w:val="22"/>
                <w:highlight w:val="none"/>
              </w:rPr>
              <w:t>640*480</w:t>
            </w:r>
            <w:r>
              <w:rPr>
                <w:rFonts w:hint="eastAsia" w:ascii="宋体" w:hAnsi="宋体" w:eastAsia="宋体" w:cs="宋体"/>
                <w:color w:val="auto"/>
                <w:sz w:val="22"/>
                <w:szCs w:val="22"/>
                <w:highlight w:val="none"/>
                <w:lang w:val="en-US" w:eastAsia="zh-CN"/>
              </w:rPr>
              <w:t>;</w:t>
            </w:r>
          </w:p>
          <w:p w14:paraId="2E332EA3">
            <w:pPr>
              <w:numPr>
                <w:ilvl w:val="0"/>
                <w:numId w:val="2"/>
              </w:num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线性度</w:t>
            </w:r>
            <w:r>
              <w:rPr>
                <w:rFonts w:ascii="宋体" w:hAnsi="宋体" w:eastAsia="宋体" w:cs="宋体"/>
                <w:color w:val="auto"/>
                <w:sz w:val="22"/>
                <w:szCs w:val="22"/>
                <w:highlight w:val="none"/>
              </w:rPr>
              <w:t>(dB/dB)±0.05 dB/ dB</w:t>
            </w:r>
            <w:r>
              <w:rPr>
                <w:rFonts w:hint="eastAsia" w:ascii="宋体" w:hAnsi="宋体" w:eastAsia="宋体" w:cs="宋体"/>
                <w:color w:val="auto"/>
                <w:sz w:val="22"/>
                <w:szCs w:val="22"/>
                <w:highlight w:val="none"/>
                <w:lang w:eastAsia="zh-CN"/>
              </w:rPr>
              <w:t>；</w:t>
            </w:r>
          </w:p>
          <w:p w14:paraId="116E491C">
            <w:pPr>
              <w:numPr>
                <w:ilvl w:val="0"/>
                <w:numId w:val="2"/>
              </w:numPr>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rPr>
              <w:t>损耗阈值(dB)</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0.05</w:t>
            </w:r>
            <w:r>
              <w:rPr>
                <w:rFonts w:hint="eastAsia" w:ascii="宋体" w:hAnsi="宋体" w:eastAsia="宋体" w:cs="宋体"/>
                <w:color w:val="auto"/>
                <w:sz w:val="22"/>
                <w:szCs w:val="22"/>
                <w:highlight w:val="none"/>
                <w:lang w:eastAsia="zh-CN"/>
              </w:rPr>
              <w:t>；</w:t>
            </w:r>
          </w:p>
          <w:p w14:paraId="13062E74">
            <w:pPr>
              <w:numPr>
                <w:ilvl w:val="0"/>
                <w:numId w:val="2"/>
              </w:numPr>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rPr>
              <w:t>损耗分辨率(dB)</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0.001</w:t>
            </w:r>
            <w:r>
              <w:rPr>
                <w:rFonts w:hint="eastAsia" w:ascii="宋体" w:hAnsi="宋体" w:eastAsia="宋体" w:cs="宋体"/>
                <w:color w:val="auto"/>
                <w:sz w:val="22"/>
                <w:szCs w:val="22"/>
                <w:highlight w:val="none"/>
                <w:lang w:eastAsia="zh-CN"/>
              </w:rPr>
              <w:t>；</w:t>
            </w:r>
          </w:p>
          <w:p w14:paraId="7006E8F3">
            <w:pPr>
              <w:numPr>
                <w:ilvl w:val="0"/>
                <w:numId w:val="2"/>
              </w:numPr>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rPr>
              <w:t>采样分辨率(m)</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0.125至8</w:t>
            </w:r>
            <w:r>
              <w:rPr>
                <w:rFonts w:hint="eastAsia" w:ascii="宋体" w:hAnsi="宋体" w:eastAsia="宋体" w:cs="宋体"/>
                <w:color w:val="auto"/>
                <w:sz w:val="22"/>
                <w:szCs w:val="22"/>
                <w:highlight w:val="none"/>
                <w:lang w:eastAsia="zh-CN"/>
              </w:rPr>
              <w:t>；</w:t>
            </w:r>
          </w:p>
          <w:p w14:paraId="1ACA8311">
            <w:pPr>
              <w:numPr>
                <w:ilvl w:val="0"/>
                <w:numId w:val="2"/>
              </w:numPr>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rPr>
              <w:t>距离范围(km)</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0.3至180</w:t>
            </w:r>
            <w:r>
              <w:rPr>
                <w:rFonts w:hint="eastAsia" w:ascii="宋体" w:hAnsi="宋体" w:eastAsia="宋体" w:cs="宋体"/>
                <w:color w:val="auto"/>
                <w:sz w:val="22"/>
                <w:szCs w:val="22"/>
                <w:highlight w:val="none"/>
                <w:lang w:eastAsia="zh-CN"/>
              </w:rPr>
              <w:t>；</w:t>
            </w:r>
          </w:p>
          <w:p w14:paraId="47B90FD6">
            <w:pPr>
              <w:numPr>
                <w:ilvl w:val="0"/>
                <w:numId w:val="2"/>
              </w:numPr>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rPr>
              <w:t>迹线存储容量</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10000条</w:t>
            </w:r>
            <w:r>
              <w:rPr>
                <w:rFonts w:hint="eastAsia" w:ascii="宋体" w:hAnsi="宋体" w:eastAsia="宋体" w:cs="宋体"/>
                <w:color w:val="auto"/>
                <w:sz w:val="22"/>
                <w:szCs w:val="22"/>
                <w:highlight w:val="none"/>
                <w:lang w:eastAsia="zh-CN"/>
              </w:rPr>
              <w:t>；</w:t>
            </w:r>
          </w:p>
          <w:p w14:paraId="6EE1E54A">
            <w:pPr>
              <w:numPr>
                <w:ilvl w:val="0"/>
                <w:numId w:val="2"/>
              </w:numPr>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rPr>
              <w:t>接口</w:t>
            </w:r>
            <w:r>
              <w:rPr>
                <w:rFonts w:hint="eastAsia" w:ascii="宋体" w:hAnsi="宋体" w:eastAsia="宋体" w:cs="宋体"/>
                <w:i w:val="0"/>
                <w:iCs w:val="0"/>
                <w:color w:val="auto"/>
                <w:kern w:val="0"/>
                <w:sz w:val="22"/>
                <w:szCs w:val="22"/>
                <w:highlight w:val="none"/>
                <w:u w:val="none"/>
                <w:lang w:val="en-US" w:eastAsia="zh-CN" w:bidi="ar"/>
              </w:rPr>
              <w:t>≥1个</w:t>
            </w:r>
            <w:r>
              <w:rPr>
                <w:rFonts w:ascii="宋体" w:hAnsi="宋体" w:eastAsia="宋体" w:cs="宋体"/>
                <w:color w:val="auto"/>
                <w:sz w:val="22"/>
                <w:szCs w:val="22"/>
                <w:highlight w:val="none"/>
              </w:rPr>
              <w:t>FC/UPC</w:t>
            </w:r>
            <w:r>
              <w:rPr>
                <w:rFonts w:hint="eastAsia" w:ascii="宋体" w:hAnsi="宋体" w:eastAsia="宋体" w:cs="宋体"/>
                <w:color w:val="auto"/>
                <w:sz w:val="22"/>
                <w:szCs w:val="22"/>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≥1个</w:t>
            </w:r>
            <w:r>
              <w:rPr>
                <w:rFonts w:ascii="宋体" w:hAnsi="宋体" w:eastAsia="宋体" w:cs="宋体"/>
                <w:color w:val="auto"/>
                <w:sz w:val="22"/>
                <w:szCs w:val="22"/>
                <w:highlight w:val="none"/>
              </w:rPr>
              <w:t>USB接口、</w:t>
            </w:r>
            <w:r>
              <w:rPr>
                <w:rFonts w:hint="eastAsia" w:ascii="宋体" w:hAnsi="宋体" w:eastAsia="宋体" w:cs="宋体"/>
                <w:i w:val="0"/>
                <w:iCs w:val="0"/>
                <w:color w:val="auto"/>
                <w:kern w:val="0"/>
                <w:sz w:val="22"/>
                <w:szCs w:val="22"/>
                <w:highlight w:val="none"/>
                <w:u w:val="none"/>
                <w:lang w:val="en-US" w:eastAsia="zh-CN" w:bidi="ar"/>
              </w:rPr>
              <w:t>≥1个</w:t>
            </w:r>
            <w:r>
              <w:rPr>
                <w:rFonts w:ascii="宋体" w:hAnsi="宋体" w:eastAsia="宋体" w:cs="宋体"/>
                <w:color w:val="auto"/>
                <w:sz w:val="22"/>
                <w:szCs w:val="22"/>
                <w:highlight w:val="none"/>
              </w:rPr>
              <w:t>SD卡接口</w:t>
            </w:r>
            <w:r>
              <w:rPr>
                <w:rFonts w:hint="eastAsia" w:ascii="宋体" w:hAnsi="宋体" w:eastAsia="宋体" w:cs="宋体"/>
                <w:color w:val="auto"/>
                <w:sz w:val="22"/>
                <w:szCs w:val="22"/>
                <w:highlight w:val="none"/>
                <w:lang w:eastAsia="zh-CN"/>
              </w:rPr>
              <w:t>；</w:t>
            </w:r>
          </w:p>
          <w:p w14:paraId="2BEF45BE">
            <w:pPr>
              <w:numPr>
                <w:ilvl w:val="0"/>
                <w:numId w:val="2"/>
              </w:numP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val="en-US" w:eastAsia="zh-CN"/>
              </w:rPr>
              <w:t>设备外形尺寸</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150×230×65mm。</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03679B7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1个</w:t>
            </w:r>
          </w:p>
        </w:tc>
      </w:tr>
    </w:tbl>
    <w:p w14:paraId="4A8AA09B">
      <w:pPr>
        <w:pStyle w:val="7"/>
        <w:keepNext w:val="0"/>
        <w:keepLines w:val="0"/>
        <w:pageBreakBefore w:val="0"/>
        <w:numPr>
          <w:ilvl w:val="0"/>
          <w:numId w:val="0"/>
        </w:numPr>
        <w:kinsoku/>
        <w:wordWrap/>
        <w:overflowPunct/>
        <w:topLinePunct w:val="0"/>
        <w:autoSpaceDE/>
        <w:autoSpaceDN/>
        <w:bidi w:val="0"/>
        <w:adjustRightInd/>
        <w:spacing w:line="360" w:lineRule="exact"/>
        <w:ind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硬件兼容性要求</w:t>
      </w:r>
    </w:p>
    <w:p w14:paraId="3327459A">
      <w:pPr>
        <w:keepNext w:val="0"/>
        <w:keepLines w:val="0"/>
        <w:pageBreakBefore w:val="0"/>
        <w:kinsoku/>
        <w:wordWrap/>
        <w:overflowPunct/>
        <w:topLinePunct w:val="0"/>
        <w:autoSpaceDE/>
        <w:autoSpaceDN/>
        <w:bidi w:val="0"/>
        <w:adjustRightInd/>
        <w:snapToGrid w:val="0"/>
        <w:spacing w:line="360" w:lineRule="exact"/>
        <w:jc w:val="left"/>
        <w:rPr>
          <w:rFonts w:hint="eastAsia" w:ascii="宋体" w:hAnsi="宋体" w:eastAsia="宋体" w:cs="宋体"/>
          <w:i w:val="0"/>
          <w:iCs w:val="0"/>
          <w:caps w:val="0"/>
          <w:color w:val="auto"/>
          <w:spacing w:val="0"/>
          <w:sz w:val="22"/>
          <w:szCs w:val="22"/>
          <w:highlight w:val="none"/>
          <w:u w:val="single"/>
          <w:shd w:val="clear" w:color="auto" w:fill="FFFFFF"/>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中标人在合同签订后12</w:t>
      </w:r>
      <w:r>
        <w:rPr>
          <w:rFonts w:hint="eastAsia" w:ascii="宋体" w:hAnsi="宋体" w:eastAsia="宋体" w:cs="宋体"/>
          <w:color w:val="auto"/>
          <w:sz w:val="22"/>
          <w:szCs w:val="22"/>
          <w:highlight w:val="none"/>
          <w:u w:val="single"/>
        </w:rPr>
        <w:t>个工作日内，</w:t>
      </w:r>
      <w:r>
        <w:rPr>
          <w:rFonts w:hint="eastAsia" w:ascii="宋体" w:hAnsi="宋体" w:eastAsia="宋体" w:cs="宋体"/>
          <w:color w:val="auto"/>
          <w:sz w:val="22"/>
          <w:szCs w:val="22"/>
          <w:highlight w:val="none"/>
          <w:u w:val="single"/>
          <w:lang w:val="en-US" w:eastAsia="zh-CN"/>
        </w:rPr>
        <w:t>进行</w:t>
      </w:r>
      <w:r>
        <w:rPr>
          <w:rFonts w:hint="eastAsia" w:ascii="宋体" w:hAnsi="宋体" w:eastAsia="宋体" w:cs="宋体"/>
          <w:color w:val="auto"/>
          <w:sz w:val="22"/>
          <w:szCs w:val="22"/>
          <w:highlight w:val="none"/>
          <w:u w:val="single"/>
        </w:rPr>
        <w:t>现场调试硬件兼容性</w:t>
      </w:r>
      <w:r>
        <w:rPr>
          <w:rFonts w:hint="eastAsia" w:ascii="宋体" w:hAnsi="宋体" w:eastAsia="宋体" w:cs="宋体"/>
          <w:i w:val="0"/>
          <w:iCs w:val="0"/>
          <w:caps w:val="0"/>
          <w:color w:val="auto"/>
          <w:spacing w:val="0"/>
          <w:sz w:val="22"/>
          <w:szCs w:val="22"/>
          <w:highlight w:val="none"/>
          <w:u w:val="single"/>
          <w:shd w:val="clear" w:color="auto" w:fill="FFFFFF"/>
        </w:rPr>
        <w:t>。</w:t>
      </w:r>
    </w:p>
    <w:p w14:paraId="70CD1663">
      <w:pPr>
        <w:keepNext w:val="0"/>
        <w:keepLines w:val="0"/>
        <w:pageBreakBefore w:val="0"/>
        <w:kinsoku/>
        <w:wordWrap/>
        <w:overflowPunct/>
        <w:topLinePunct w:val="0"/>
        <w:autoSpaceDE/>
        <w:autoSpaceDN/>
        <w:bidi w:val="0"/>
        <w:adjustRightInd/>
        <w:snapToGrid w:val="0"/>
        <w:spacing w:line="360" w:lineRule="exact"/>
        <w:jc w:val="left"/>
        <w:rPr>
          <w:rFonts w:hint="eastAsia" w:ascii="宋体" w:hAnsi="宋体" w:eastAsia="宋体" w:cs="宋体"/>
          <w:b/>
          <w:bCs/>
          <w:color w:val="auto"/>
          <w:spacing w:val="-6"/>
          <w:sz w:val="22"/>
          <w:szCs w:val="22"/>
          <w:highlight w:val="none"/>
          <w:u w:val="single"/>
          <w:lang w:val="en-US" w:eastAsia="zh-CN"/>
        </w:rPr>
      </w:pPr>
      <w:r>
        <w:rPr>
          <w:rFonts w:hint="eastAsia" w:ascii="宋体" w:hAnsi="宋体" w:eastAsia="宋体" w:cs="宋体"/>
          <w:i w:val="0"/>
          <w:iCs w:val="0"/>
          <w:caps w:val="0"/>
          <w:color w:val="auto"/>
          <w:spacing w:val="0"/>
          <w:sz w:val="22"/>
          <w:szCs w:val="22"/>
          <w:highlight w:val="none"/>
          <w:u w:val="single"/>
          <w:shd w:val="clear" w:color="auto" w:fill="FFFFFF"/>
          <w:lang w:val="en-US" w:eastAsia="zh-CN"/>
        </w:rPr>
        <w:t>3.</w:t>
      </w:r>
      <w:r>
        <w:rPr>
          <w:rFonts w:hint="eastAsia" w:ascii="宋体" w:hAnsi="宋体" w:eastAsia="宋体" w:cs="宋体"/>
          <w:i w:val="0"/>
          <w:iCs w:val="0"/>
          <w:caps w:val="0"/>
          <w:color w:val="auto"/>
          <w:spacing w:val="0"/>
          <w:sz w:val="22"/>
          <w:szCs w:val="22"/>
          <w:highlight w:val="none"/>
          <w:u w:val="single"/>
          <w:shd w:val="clear" w:color="auto" w:fill="FFFFFF"/>
        </w:rPr>
        <w:t>▲</w:t>
      </w:r>
      <w:r>
        <w:rPr>
          <w:rFonts w:hint="eastAsia" w:ascii="宋体" w:hAnsi="宋体" w:eastAsia="宋体" w:cs="宋体"/>
          <w:color w:val="auto"/>
          <w:sz w:val="22"/>
          <w:szCs w:val="22"/>
          <w:highlight w:val="none"/>
          <w:u w:val="single"/>
        </w:rPr>
        <w:t>投标人报价中应已充分包含光纤线及相关安装辅材的全部费用，该费用视为已计入投标总价，采购人不再另行支付。</w:t>
      </w:r>
    </w:p>
    <w:p w14:paraId="3AE15F23">
      <w:pPr>
        <w:keepNext w:val="0"/>
        <w:keepLines w:val="0"/>
        <w:pageBreakBefore w:val="0"/>
        <w:kinsoku/>
        <w:wordWrap/>
        <w:overflowPunct/>
        <w:topLinePunct w:val="0"/>
        <w:autoSpaceDE/>
        <w:autoSpaceDN/>
        <w:bidi w:val="0"/>
        <w:adjustRightInd/>
        <w:snapToGrid w:val="0"/>
        <w:spacing w:line="360" w:lineRule="exact"/>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四、其他</w:t>
      </w:r>
    </w:p>
    <w:p w14:paraId="4BFB46E1">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1.除招标文件中所明确的采购需求外，欢迎其他能满足本项目采购需求且性所明确采购需求的产品参加投标报价。同时在采购需求偏离表中作出详细对比说明。</w:t>
      </w:r>
    </w:p>
    <w:p w14:paraId="7E2F655F">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条款为实质性条款，投标人必须做出实质性响应，不允许负偏离，出现负偏离的将导致投标无效。打“★”的条款为重要指标，允许负偏离，但在技术评分时会重点扣分，具体见评标办法。</w:t>
      </w:r>
    </w:p>
    <w:p w14:paraId="0D89781D">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14:paraId="130635B4">
      <w:r>
        <w:rPr>
          <w:rFonts w:hint="eastAsia" w:ascii="宋体" w:hAnsi="宋体" w:eastAsia="宋体" w:cs="宋体"/>
          <w:b/>
          <w:bCs/>
          <w:color w:val="auto"/>
          <w:spacing w:val="-6"/>
          <w:sz w:val="22"/>
          <w:szCs w:val="22"/>
          <w:highlight w:val="none"/>
        </w:rPr>
        <w:t>4.技术部分中需要提供的证明材料有有效期的必须在有效期内，否则视为未提供。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5E29F"/>
    <w:multiLevelType w:val="singleLevel"/>
    <w:tmpl w:val="B805E29F"/>
    <w:lvl w:ilvl="0" w:tentative="0">
      <w:start w:val="1"/>
      <w:numFmt w:val="decimal"/>
      <w:suff w:val="nothing"/>
      <w:lvlText w:val="%1、"/>
      <w:lvlJc w:val="left"/>
    </w:lvl>
  </w:abstractNum>
  <w:abstractNum w:abstractNumId="1">
    <w:nsid w:val="3FE7B152"/>
    <w:multiLevelType w:val="singleLevel"/>
    <w:tmpl w:val="3FE7B152"/>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C3150"/>
    <w:rsid w:val="19BC3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autoSpaceDE w:val="0"/>
      <w:autoSpaceDN w:val="0"/>
      <w:adjustRightInd w:val="0"/>
      <w:ind w:firstLine="420" w:firstLineChars="100"/>
      <w:jc w:val="left"/>
    </w:pPr>
    <w:rPr>
      <w:rFonts w:ascii="仿宋_GB2312"/>
      <w:b/>
      <w:kern w:val="0"/>
      <w:sz w:val="32"/>
      <w:szCs w:val="32"/>
    </w:rPr>
  </w:style>
  <w:style w:type="paragraph" w:styleId="4">
    <w:name w:val="annotation text"/>
    <w:basedOn w:val="1"/>
    <w:qFormat/>
    <w:uiPriority w:val="0"/>
    <w:pPr>
      <w:jc w:val="left"/>
    </w:p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 w:type="paragraph" w:styleId="6">
    <w:name w:val="toc 2"/>
    <w:basedOn w:val="1"/>
    <w:next w:val="1"/>
    <w:qFormat/>
    <w:uiPriority w:val="39"/>
    <w:pPr>
      <w:tabs>
        <w:tab w:val="right" w:leader="dot" w:pos="8302"/>
      </w:tabs>
      <w:ind w:leftChars="200"/>
    </w:pPr>
    <w:rPr>
      <w:b/>
      <w:sz w:val="24"/>
    </w:rPr>
  </w:style>
  <w:style w:type="paragraph" w:styleId="7">
    <w:name w:val="HTML Preformatted"/>
    <w:basedOn w:val="1"/>
    <w:unhideWhenUsed/>
    <w:qFormat/>
    <w:uiPriority w:val="99"/>
    <w:rPr>
      <w:rFonts w:ascii="Courier New" w:hAnsi="Courier New" w:cs="Courier New"/>
      <w:sz w:val="20"/>
      <w:szCs w:val="20"/>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2025-11-18T07:47:00Z</dcterms:created>
  <dc:creator>浙江乐诚</dc:creator>
  <cp:lastModifiedBy>浙江乐诚</cp:lastModifiedBy>
  <dcterms:modified xsi:type="dcterms:W3CDTF">2025-11-18T07:48:18Z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3B2EFA08FCAD4B9BB493399F871826EC_11</vt:lpwstr>
  </property>
  <property fmtid="{D5CDD505-2E9C-101B-9397-08002B2CF9AE}" pid="4" name="KSOTemplateDocerSaveRecord">
    <vt:lpwstr>eyJoZGlkIjoiNzlmYWMzN2JiOWNmNTU5MTMxMDUzNTBlMDg4ZDEzNmYiLCJ1c2VySWQiOiIxOTk1MTEzOTEifQ==</vt:lpwstr>
  </property>
</Properties>
</file>