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宋体" w:hAnsi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sz w:val="32"/>
          <w:highlight w:val="none"/>
        </w:rPr>
        <w:t>采购需求</w:t>
      </w:r>
    </w:p>
    <w:p>
      <w:pPr>
        <w:snapToGrid w:val="0"/>
        <w:spacing w:line="400" w:lineRule="exact"/>
        <w:rPr>
          <w:rFonts w:hint="eastAsia" w:ascii="宋体" w:hAnsi="宋体" w:cs="宋体"/>
          <w:b/>
          <w:bCs/>
          <w:spacing w:val="-6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spacing w:val="-6"/>
          <w:sz w:val="22"/>
          <w:szCs w:val="22"/>
          <w:highlight w:val="none"/>
        </w:rPr>
        <w:t>一、采购内容及数量</w:t>
      </w:r>
    </w:p>
    <w:tbl>
      <w:tblPr>
        <w:tblStyle w:val="3"/>
        <w:tblW w:w="93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939"/>
        <w:gridCol w:w="1290"/>
        <w:gridCol w:w="187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pacing w:val="-6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pacing w:val="-6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2"/>
                <w:szCs w:val="22"/>
                <w:highlight w:val="none"/>
              </w:rPr>
              <w:t>预算金额（万元）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2019年优秀学生赴境外交流研习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27人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25万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25名学生+8名自费学生+2名带队教师，共35人（8名自费学生，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费用不在本次预算内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</w:tbl>
    <w:p>
      <w:pPr>
        <w:snapToGrid w:val="0"/>
        <w:spacing w:line="400" w:lineRule="exact"/>
        <w:outlineLvl w:val="0"/>
        <w:rPr>
          <w:rFonts w:hint="eastAsia" w:ascii="宋体" w:hAnsi="宋体" w:cs="宋体"/>
          <w:b/>
          <w:spacing w:val="-6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spacing w:val="-6"/>
          <w:sz w:val="22"/>
          <w:szCs w:val="22"/>
          <w:highlight w:val="none"/>
        </w:rPr>
        <w:t>二、</w:t>
      </w:r>
      <w:r>
        <w:rPr>
          <w:rFonts w:hint="eastAsia" w:ascii="宋体" w:hAnsi="宋体" w:cs="宋体"/>
          <w:b/>
          <w:spacing w:val="-6"/>
          <w:sz w:val="22"/>
          <w:szCs w:val="22"/>
          <w:highlight w:val="none"/>
        </w:rPr>
        <w:t>商务要求（技术要求里另有注明的以技术要求为准）</w:t>
      </w:r>
    </w:p>
    <w:tbl>
      <w:tblPr>
        <w:tblStyle w:val="3"/>
        <w:tblW w:w="92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highlight w:val="none"/>
                <w:u w:val="single"/>
              </w:rPr>
              <w:t>▲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u w:val="single"/>
              </w:rPr>
              <w:t>付款条件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u w:val="single"/>
              </w:rPr>
              <w:t>本合同签订后卖方向买方支付合同价款的5%作为履约保证金；合同签订后项目启动前由买方向卖方支付合同价款的60%（卖方必须先开具合同金额100%的正式税务发票），其余40%待卖方完成全部服务并通过买方确认再进行支付；履约保证金待项目完成后1个月内无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51"/>
              </w:tabs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出境研习时间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51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暑期（2019年8月31日之前完成本次项目，所有人要安全返回境内）</w:t>
            </w:r>
          </w:p>
        </w:tc>
      </w:tr>
    </w:tbl>
    <w:p>
      <w:pPr>
        <w:numPr>
          <w:ilvl w:val="0"/>
          <w:numId w:val="1"/>
        </w:numPr>
        <w:snapToGrid w:val="0"/>
        <w:spacing w:line="400" w:lineRule="exact"/>
        <w:rPr>
          <w:rFonts w:hint="eastAsia" w:ascii="宋体" w:hAnsi="宋体" w:cs="宋体"/>
          <w:b/>
          <w:bCs/>
          <w:spacing w:val="-6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spacing w:val="-6"/>
          <w:sz w:val="22"/>
          <w:szCs w:val="22"/>
          <w:highlight w:val="none"/>
        </w:rPr>
        <w:t>技术要求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技术参数与要求：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</w:rPr>
              <w:t>（一）201</w:t>
            </w: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</w:rPr>
              <w:t>年优秀学生赴境外交流研习项目：香港名校+世界500强的香港企业</w:t>
            </w: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</w:rPr>
              <w:t>研习概况：7天研习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（二）人数：2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人（最终人数以校方实际人数为准）。</w:t>
            </w:r>
          </w:p>
          <w:p>
            <w:pPr>
              <w:tabs>
                <w:tab w:val="left" w:pos="851"/>
              </w:tabs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（三）出境研习时间：201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暑期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（四）预算金额：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单人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不超过人民币9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259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元/人</w:t>
            </w:r>
          </w:p>
          <w:p>
            <w:pPr>
              <w:spacing w:line="360" w:lineRule="auto"/>
              <w:ind w:firstLine="660" w:firstLineChars="30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费用包括：申请及行政费、行前辅导服务、课程费、课程材料费用、课室租用费、讲座安排/开学/结业典礼行政费用、在港期间保险费、住宿费、在港期间车辆使用费用，往返境外机票、通行证签注费、审批费、伙食费、内地往返机场接送和住宿费、发票税等。</w:t>
            </w:r>
          </w:p>
          <w:p>
            <w:pPr>
              <w:spacing w:line="360" w:lineRule="auto"/>
              <w:ind w:firstLine="660" w:firstLineChars="30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发票要求：增值税普票或专票，票据内容：研习人员往返机票、内地往返机场接送费、研习服务费（除交通发票外的所有费用）。</w:t>
            </w:r>
          </w:p>
          <w:p>
            <w:pPr>
              <w:tabs>
                <w:tab w:val="left" w:pos="851"/>
              </w:tabs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（五）承接公司资质：拥有独立法人资格；可按照要求进行设计研习内容、组织研习活动、安排住宿、接送机、订购机票等相关服务能力。</w:t>
            </w:r>
          </w:p>
          <w:p>
            <w:pPr>
              <w:tabs>
                <w:tab w:val="left" w:pos="851"/>
              </w:tabs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（六）香港对接方资质：世界大学排名（QS）前100 的香港公立的综合大学，世界500强的香港企业。</w:t>
            </w:r>
          </w:p>
          <w:p>
            <w:pPr>
              <w:tabs>
                <w:tab w:val="left" w:pos="851"/>
              </w:tabs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（七）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u w:val="none"/>
              </w:rPr>
              <w:t>研学课程：课程设计内容要丰富，授课形式为集中授课。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u w:val="single"/>
              </w:rPr>
              <w:t>▲购物点不得加入行程。</w:t>
            </w:r>
          </w:p>
          <w:p>
            <w:pPr>
              <w:tabs>
                <w:tab w:val="left" w:pos="851"/>
              </w:tabs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（八）研习成果：学校和企业研习课程结束后需授予学生承接校方颁发的研习证书。</w:t>
            </w:r>
          </w:p>
          <w:p>
            <w:pPr>
              <w:tabs>
                <w:tab w:val="left" w:pos="851"/>
              </w:tabs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（九）交通：提供往返机场接送车龄不超过三年的空调旅游大巴，车况良好，驾驶员经验丰富。</w:t>
            </w:r>
          </w:p>
          <w:p>
            <w:pPr>
              <w:tabs>
                <w:tab w:val="left" w:pos="851"/>
              </w:tabs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（十）住宿：按三星或以上标准建造的酒店，携程网用户分不低于3.8分。</w:t>
            </w:r>
          </w:p>
          <w:p>
            <w:pPr>
              <w:tabs>
                <w:tab w:val="left" w:pos="851"/>
              </w:tabs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（十一）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u w:val="single"/>
              </w:rPr>
              <w:t>▲用餐：七早十四正，每人每日中、晚餐标准合计不低于120元人民币，用餐场所必须拥有营业执照，卫生环境良好。</w:t>
            </w:r>
          </w:p>
          <w:p>
            <w:pPr>
              <w:tabs>
                <w:tab w:val="left" w:pos="851"/>
              </w:tabs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u w:val="single"/>
              </w:rPr>
              <w:t>（十二）▲保险：境外旅游险及人身意外险，意外险保额不低于50万。</w:t>
            </w:r>
          </w:p>
          <w:p>
            <w:pPr>
              <w:tabs>
                <w:tab w:val="left" w:pos="851"/>
              </w:tabs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（十三）其他：出行前需要安排相关行前辅导以及应急预案，保证出境师生的人身安全；出境随行管理人员须有3年以上的出团经历，且在境外的业务熟练，经验丰富，有较强的组织沟通能力。</w:t>
            </w:r>
          </w:p>
          <w:p>
            <w:pPr>
              <w:pStyle w:val="2"/>
              <w:ind w:right="-252"/>
              <w:rPr>
                <w:rFonts w:hint="eastAsia" w:cs="宋体"/>
                <w:b/>
                <w:bCs/>
                <w:spacing w:val="-6"/>
                <w:sz w:val="22"/>
                <w:szCs w:val="22"/>
                <w:highlight w:val="none"/>
                <w:vertAlign w:val="baseline"/>
              </w:rPr>
            </w:pPr>
          </w:p>
        </w:tc>
      </w:tr>
    </w:tbl>
    <w:p>
      <w:pPr>
        <w:pStyle w:val="2"/>
        <w:ind w:left="0" w:right="-252"/>
        <w:rPr>
          <w:rFonts w:hint="eastAsia" w:cs="宋体"/>
          <w:b/>
          <w:bCs/>
          <w:spacing w:val="-6"/>
          <w:sz w:val="22"/>
          <w:szCs w:val="22"/>
          <w:highlight w:val="none"/>
        </w:rPr>
      </w:pPr>
    </w:p>
    <w:p>
      <w:pPr>
        <w:spacing w:line="400" w:lineRule="exact"/>
        <w:rPr>
          <w:rFonts w:hint="eastAsia" w:cs="宋体"/>
          <w:b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pacing w:val="-6"/>
          <w:sz w:val="22"/>
          <w:szCs w:val="22"/>
          <w:highlight w:val="none"/>
        </w:rPr>
        <w:t>注：带“▲”且加下划线的有关技术和商务要求为实质性条款，响应方必须做出实质性响应，否则视为无效响应文件。除此之外其余的指标、服务要求以及合同条款可在磋商现场，根据磋商小组与供应商的磋商进行变动。另外请各投标单位在采购需求偏离表中作出详细对比说明</w:t>
      </w:r>
      <w:r>
        <w:rPr>
          <w:rFonts w:hint="eastAsia" w:ascii="宋体" w:hAnsi="宋体" w:cs="宋体"/>
          <w:b/>
          <w:bCs/>
          <w:kern w:val="0"/>
          <w:sz w:val="22"/>
          <w:szCs w:val="22"/>
          <w:highlight w:val="none"/>
        </w:rPr>
        <w:t>。</w:t>
      </w:r>
    </w:p>
    <w:p>
      <w:pPr>
        <w:pStyle w:val="2"/>
        <w:ind w:left="0" w:right="-252"/>
        <w:rPr>
          <w:rFonts w:hint="eastAsia" w:cs="宋体"/>
          <w:b/>
          <w:sz w:val="30"/>
          <w:szCs w:val="30"/>
          <w:highlight w:val="none"/>
        </w:rPr>
      </w:pPr>
    </w:p>
    <w:p>
      <w:pPr>
        <w:pStyle w:val="2"/>
        <w:ind w:left="0" w:right="-252"/>
        <w:rPr>
          <w:rFonts w:hint="eastAsia" w:cs="宋体"/>
          <w:b/>
          <w:sz w:val="30"/>
          <w:szCs w:val="30"/>
          <w:highlight w:val="none"/>
        </w:rPr>
      </w:pPr>
    </w:p>
    <w:p>
      <w:pPr>
        <w:pStyle w:val="2"/>
        <w:ind w:left="0" w:right="-252"/>
        <w:rPr>
          <w:rFonts w:hint="eastAsia" w:cs="宋体"/>
          <w:b/>
          <w:sz w:val="30"/>
          <w:szCs w:val="30"/>
          <w:highlight w:val="none"/>
        </w:rPr>
      </w:pPr>
    </w:p>
    <w:p>
      <w:pPr>
        <w:pStyle w:val="2"/>
        <w:ind w:left="0" w:right="-252"/>
        <w:rPr>
          <w:rFonts w:hint="eastAsia" w:cs="宋体"/>
          <w:b/>
          <w:sz w:val="30"/>
          <w:szCs w:val="30"/>
          <w:highlight w:val="none"/>
        </w:rPr>
      </w:pPr>
    </w:p>
    <w:p>
      <w:pPr>
        <w:pStyle w:val="2"/>
        <w:ind w:left="0" w:right="-252"/>
        <w:rPr>
          <w:rFonts w:hint="eastAsia" w:cs="宋体"/>
          <w:b/>
          <w:sz w:val="30"/>
          <w:szCs w:val="30"/>
          <w:highlight w:val="none"/>
        </w:rPr>
      </w:pPr>
    </w:p>
    <w:p>
      <w:pPr>
        <w:pStyle w:val="2"/>
        <w:ind w:left="0" w:right="-252"/>
        <w:rPr>
          <w:rFonts w:hint="eastAsia" w:cs="宋体"/>
          <w:b/>
          <w:sz w:val="30"/>
          <w:szCs w:val="30"/>
          <w:highlight w:val="none"/>
        </w:rPr>
      </w:pPr>
    </w:p>
    <w:p>
      <w:pPr>
        <w:pStyle w:val="2"/>
        <w:ind w:left="0" w:right="-252"/>
        <w:rPr>
          <w:rFonts w:hint="eastAsia" w:cs="宋体"/>
          <w:b/>
          <w:sz w:val="30"/>
          <w:szCs w:val="30"/>
          <w:highlight w:val="none"/>
        </w:rPr>
      </w:pPr>
    </w:p>
    <w:p>
      <w:pPr>
        <w:pStyle w:val="2"/>
        <w:ind w:left="0" w:right="-252"/>
        <w:rPr>
          <w:rFonts w:hint="eastAsia" w:cs="宋体"/>
          <w:b/>
          <w:sz w:val="30"/>
          <w:szCs w:val="30"/>
          <w:highlight w:val="none"/>
        </w:rPr>
      </w:pPr>
    </w:p>
    <w:p>
      <w:pPr>
        <w:pStyle w:val="2"/>
        <w:ind w:left="0" w:right="-252"/>
        <w:rPr>
          <w:rFonts w:hint="eastAsia" w:cs="宋体"/>
          <w:b/>
          <w:sz w:val="30"/>
          <w:szCs w:val="30"/>
          <w:highlight w:val="none"/>
        </w:rPr>
      </w:pPr>
    </w:p>
    <w:p>
      <w:pPr>
        <w:pStyle w:val="2"/>
        <w:ind w:left="0" w:right="-252"/>
        <w:rPr>
          <w:rFonts w:hint="eastAsia" w:cs="宋体"/>
          <w:b/>
          <w:sz w:val="30"/>
          <w:szCs w:val="30"/>
          <w:highlight w:val="none"/>
        </w:rPr>
      </w:pPr>
    </w:p>
    <w:p>
      <w:pPr>
        <w:pStyle w:val="2"/>
        <w:ind w:left="0" w:right="-252"/>
        <w:rPr>
          <w:rFonts w:hint="eastAsia" w:cs="宋体"/>
          <w:b/>
          <w:sz w:val="30"/>
          <w:szCs w:val="30"/>
          <w:highlight w:val="none"/>
        </w:rPr>
      </w:pPr>
    </w:p>
    <w:p>
      <w:pPr>
        <w:pStyle w:val="2"/>
        <w:ind w:left="0" w:right="-252"/>
        <w:rPr>
          <w:rFonts w:hint="eastAsia" w:cs="宋体"/>
          <w:b/>
          <w:sz w:val="30"/>
          <w:szCs w:val="30"/>
          <w:highlight w:val="none"/>
        </w:rPr>
      </w:pPr>
    </w:p>
    <w:p>
      <w:pPr>
        <w:pStyle w:val="2"/>
        <w:ind w:left="0" w:right="-252"/>
        <w:rPr>
          <w:rFonts w:hint="eastAsia" w:cs="宋体"/>
          <w:b/>
          <w:sz w:val="30"/>
          <w:szCs w:val="30"/>
          <w:highlight w:val="none"/>
        </w:rPr>
      </w:pPr>
    </w:p>
    <w:p>
      <w:pPr>
        <w:pStyle w:val="2"/>
        <w:ind w:left="0" w:right="-252"/>
        <w:rPr>
          <w:rFonts w:hint="eastAsia" w:cs="宋体"/>
          <w:b/>
          <w:sz w:val="30"/>
          <w:szCs w:val="30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30AFFA"/>
    <w:multiLevelType w:val="singleLevel"/>
    <w:tmpl w:val="B730AFF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6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adjustRightInd w:val="0"/>
      <w:spacing w:line="300" w:lineRule="auto"/>
      <w:ind w:left="958" w:rightChars="-120"/>
      <w:jc w:val="left"/>
    </w:pPr>
    <w:rPr>
      <w:rFonts w:ascii="宋体" w:hAnsi="宋体"/>
      <w:sz w:val="2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</dc:creator>
  <cp:lastModifiedBy>me</cp:lastModifiedBy>
  <dcterms:modified xsi:type="dcterms:W3CDTF">2019-05-08T08:05:09Z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